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D69A2E" w14:textId="37523613" w:rsidR="00422EF2" w:rsidRPr="00480F2A" w:rsidRDefault="00422EF2" w:rsidP="00422EF2">
      <w:pPr>
        <w:spacing w:after="0"/>
        <w:jc w:val="center"/>
        <w:rPr>
          <w:b/>
          <w:bCs/>
        </w:rPr>
      </w:pPr>
      <w:r w:rsidRPr="00480F2A">
        <w:rPr>
          <w:b/>
          <w:bCs/>
        </w:rPr>
        <w:t>MEMORANDUM OF UNDERSTANDING</w:t>
      </w:r>
    </w:p>
    <w:p w14:paraId="67F14400" w14:textId="52A403FA" w:rsidR="00422EF2" w:rsidRPr="00480F2A" w:rsidRDefault="00422EF2" w:rsidP="00422EF2">
      <w:pPr>
        <w:spacing w:after="0"/>
        <w:jc w:val="center"/>
        <w:rPr>
          <w:b/>
          <w:bCs/>
        </w:rPr>
      </w:pPr>
    </w:p>
    <w:p w14:paraId="53E8E6A4" w14:textId="1A5EF498" w:rsidR="00422EF2" w:rsidRPr="00480F2A" w:rsidRDefault="00422EF2" w:rsidP="00422EF2">
      <w:pPr>
        <w:spacing w:after="0"/>
        <w:jc w:val="center"/>
        <w:rPr>
          <w:b/>
          <w:bCs/>
        </w:rPr>
      </w:pPr>
      <w:r w:rsidRPr="00480F2A">
        <w:rPr>
          <w:b/>
          <w:bCs/>
        </w:rPr>
        <w:t>AGENCY RE-ENTRY AND WORKPLACE SAFETY PLAN 2.0</w:t>
      </w:r>
    </w:p>
    <w:p w14:paraId="663236C1" w14:textId="77777777" w:rsidR="00422EF2" w:rsidRPr="00480F2A" w:rsidRDefault="00422EF2" w:rsidP="00803BD3">
      <w:pPr>
        <w:spacing w:after="0"/>
      </w:pPr>
    </w:p>
    <w:p w14:paraId="4645350B" w14:textId="77777777" w:rsidR="00422EF2" w:rsidRPr="00480F2A" w:rsidRDefault="00422EF2" w:rsidP="00803BD3">
      <w:pPr>
        <w:spacing w:after="0"/>
      </w:pPr>
    </w:p>
    <w:p w14:paraId="1B127B6C" w14:textId="7280B69B" w:rsidR="006B1540" w:rsidRDefault="006B1540" w:rsidP="00803BD3">
      <w:pPr>
        <w:spacing w:after="0"/>
      </w:pPr>
      <w:r w:rsidRPr="00480F2A">
        <w:t xml:space="preserve">This Memorandum of Understanding (“MOU” or “agreement”) is made by and between the American Federation of Government Employees SSA General Committee (“Union”) and the Social Security Administration (“SSA”, “Agency”, “Management”), regarding the phased re-entry plan and Workplace Safety Plan 2.0 for AFGE bargaining unit employees at SSA. </w:t>
      </w:r>
      <w:r w:rsidR="00DA155B" w:rsidRPr="00480F2A">
        <w:t>By entering into this MOU, neither party waives any rights under 5 U.S.C. 71 or the current SSA-AFGE National Agreement. This MOU will expire after the evaluation period following re-entry, or extended by mutual agreement.</w:t>
      </w:r>
      <w:r w:rsidR="00B62821" w:rsidRPr="00480F2A">
        <w:t xml:space="preserve"> Within </w:t>
      </w:r>
      <w:r w:rsidR="00D40048" w:rsidRPr="00480F2A">
        <w:t xml:space="preserve">30 </w:t>
      </w:r>
      <w:r w:rsidR="00B62821" w:rsidRPr="00480F2A">
        <w:t xml:space="preserve">days prior to expiration of the evaluation period, the parties will </w:t>
      </w:r>
      <w:r w:rsidR="007B0FB1" w:rsidRPr="00480F2A">
        <w:t>meet to discuss future agency-wide post re-entry policies. If there is a duty to bargain, the Agency will provide notice and an opportunity to bargain, consistent with Article 4 and to the exten</w:t>
      </w:r>
      <w:r w:rsidR="00756EB8" w:rsidRPr="00480F2A">
        <w:t xml:space="preserve">t </w:t>
      </w:r>
      <w:r w:rsidR="007B0FB1" w:rsidRPr="00480F2A">
        <w:t>required by 5 U.S.C. 71.</w:t>
      </w:r>
    </w:p>
    <w:p w14:paraId="4EEA5B0F" w14:textId="0FB426F1" w:rsidR="000A4109" w:rsidRDefault="000A4109" w:rsidP="00803BD3">
      <w:pPr>
        <w:spacing w:after="0"/>
      </w:pPr>
    </w:p>
    <w:p w14:paraId="0D46B2E3" w14:textId="4FCB17BF" w:rsidR="000A4109" w:rsidRPr="00AD08E2" w:rsidRDefault="000A4109" w:rsidP="00803BD3">
      <w:pPr>
        <w:spacing w:after="0"/>
        <w:rPr>
          <w:b/>
          <w:bCs/>
          <w:i/>
          <w:iCs/>
          <w:color w:val="00B050"/>
        </w:rPr>
      </w:pPr>
      <w:r w:rsidRPr="00AD08E2">
        <w:rPr>
          <w:b/>
          <w:bCs/>
          <w:i/>
          <w:iCs/>
          <w:color w:val="00B050"/>
        </w:rPr>
        <w:t>NOTE: No waiver of rights. MOU can be extended. Parties will meet prior to expiration to discuss next steps, and if necessary, bargain</w:t>
      </w:r>
      <w:r w:rsidR="0028064F">
        <w:rPr>
          <w:b/>
          <w:bCs/>
          <w:i/>
          <w:iCs/>
          <w:color w:val="00B050"/>
        </w:rPr>
        <w:t xml:space="preserve"> over policies to be implemented after the evaluation period</w:t>
      </w:r>
      <w:r w:rsidRPr="00AD08E2">
        <w:rPr>
          <w:b/>
          <w:bCs/>
          <w:i/>
          <w:iCs/>
          <w:color w:val="00B050"/>
        </w:rPr>
        <w:t>.</w:t>
      </w:r>
      <w:r w:rsidR="00E039EF" w:rsidRPr="00AD08E2">
        <w:rPr>
          <w:b/>
          <w:bCs/>
          <w:i/>
          <w:iCs/>
          <w:color w:val="00B050"/>
        </w:rPr>
        <w:t xml:space="preserve"> We have a strong case to make later that the MOU and the evaluation period should be extended by 90</w:t>
      </w:r>
      <w:r w:rsidR="002E69DF">
        <w:rPr>
          <w:b/>
          <w:bCs/>
          <w:i/>
          <w:iCs/>
          <w:color w:val="00B050"/>
        </w:rPr>
        <w:t>-120</w:t>
      </w:r>
      <w:r w:rsidR="00E039EF" w:rsidRPr="00AD08E2">
        <w:rPr>
          <w:b/>
          <w:bCs/>
          <w:i/>
          <w:iCs/>
          <w:color w:val="00B050"/>
        </w:rPr>
        <w:t xml:space="preserve"> days because the evaluation period technically began on 12/1</w:t>
      </w:r>
      <w:r w:rsidR="002E69DF">
        <w:rPr>
          <w:b/>
          <w:bCs/>
          <w:i/>
          <w:iCs/>
          <w:color w:val="00B050"/>
        </w:rPr>
        <w:t>/21, and we would not be starting it in earnest until 3/30/22</w:t>
      </w:r>
      <w:r w:rsidR="00E039EF" w:rsidRPr="00AD08E2">
        <w:rPr>
          <w:b/>
          <w:bCs/>
          <w:i/>
          <w:iCs/>
          <w:color w:val="00B050"/>
        </w:rPr>
        <w:t>. Thus, it would benefit the Agency and the Union alike to continue the evaluation period in order to better gather data, work through issues, try new policies/flexibilities</w:t>
      </w:r>
      <w:r w:rsidR="00100BC1" w:rsidRPr="00AD08E2">
        <w:rPr>
          <w:b/>
          <w:bCs/>
          <w:i/>
          <w:iCs/>
          <w:color w:val="00B050"/>
        </w:rPr>
        <w:t>, etc. together over a period of time that would equate to six months, as intended by the Agency’s re-entry “plan”.</w:t>
      </w:r>
    </w:p>
    <w:p w14:paraId="798D2A15" w14:textId="56BF85CE" w:rsidR="00AF5ED6" w:rsidRPr="00480F2A" w:rsidRDefault="00AF5ED6" w:rsidP="00803BD3">
      <w:pPr>
        <w:spacing w:after="0"/>
      </w:pPr>
    </w:p>
    <w:p w14:paraId="41E92C9B" w14:textId="77777777" w:rsidR="00831509" w:rsidRPr="00480F2A" w:rsidRDefault="00831509" w:rsidP="00803BD3">
      <w:pPr>
        <w:spacing w:after="0"/>
      </w:pPr>
    </w:p>
    <w:p w14:paraId="2451D990" w14:textId="09A1DA11" w:rsidR="00803BD3" w:rsidRDefault="006B1540" w:rsidP="00993DFB">
      <w:pPr>
        <w:pStyle w:val="ListParagraph"/>
        <w:numPr>
          <w:ilvl w:val="0"/>
          <w:numId w:val="2"/>
        </w:numPr>
        <w:spacing w:after="0"/>
      </w:pPr>
      <w:r w:rsidRPr="00480F2A">
        <w:t>The parties agree that the phased re-entry process for AFGE bargaining unit employees will begin no earlier than 30 calendar days after implementation of this agreement.</w:t>
      </w:r>
      <w:r w:rsidR="007B0FB1" w:rsidRPr="00480F2A">
        <w:t xml:space="preserve"> The notice </w:t>
      </w:r>
      <w:r w:rsidR="003504F9" w:rsidRPr="00480F2A">
        <w:t xml:space="preserve">to bargaining unit employees </w:t>
      </w:r>
      <w:r w:rsidR="007B0FB1" w:rsidRPr="00480F2A">
        <w:t>will state that re-entry will occur on March 30, 2022. The Agency will send employees a subsequent notice if re-entry is postponed beyond that date for any reason.</w:t>
      </w:r>
      <w:r w:rsidRPr="00480F2A">
        <w:t xml:space="preserve"> </w:t>
      </w:r>
    </w:p>
    <w:p w14:paraId="21377387" w14:textId="1B5E956B" w:rsidR="000A4109" w:rsidRDefault="000A4109" w:rsidP="000A4109">
      <w:pPr>
        <w:spacing w:after="0"/>
      </w:pPr>
    </w:p>
    <w:p w14:paraId="1696EC2F" w14:textId="06009C5F" w:rsidR="000A4109" w:rsidRPr="00AD08E2" w:rsidRDefault="000A4109" w:rsidP="000A4109">
      <w:pPr>
        <w:spacing w:after="0"/>
        <w:rPr>
          <w:b/>
          <w:bCs/>
          <w:i/>
          <w:iCs/>
          <w:color w:val="00B050"/>
        </w:rPr>
      </w:pPr>
      <w:r w:rsidRPr="00AD08E2">
        <w:rPr>
          <w:b/>
          <w:bCs/>
          <w:i/>
          <w:iCs/>
          <w:color w:val="00B050"/>
        </w:rPr>
        <w:t xml:space="preserve">NOTE: The notice will state that employees will re-enter on March 30, 2022. This date can be postponed, such as for pandemic conditions. The goal of the date is to give the parties time to work out important component re-entry issues, to wait out the latest wave of the pandemic, and see whether pandemic conditions improve. The additional time (rather than just 30 days) will also allow employees to make plans (e.g., child care, etc.) more easily with longer notice. The Agency has informed us that the evacuation will continue until March 30, 2022, so full evacuation telework and other policies remain in effect until then. </w:t>
      </w:r>
    </w:p>
    <w:p w14:paraId="04C2A280" w14:textId="77777777" w:rsidR="00C429D7" w:rsidRPr="00480F2A" w:rsidRDefault="00C429D7" w:rsidP="00C429D7">
      <w:pPr>
        <w:pStyle w:val="ListParagraph"/>
        <w:spacing w:after="0"/>
        <w:ind w:left="360"/>
      </w:pPr>
    </w:p>
    <w:p w14:paraId="1FC81820" w14:textId="71ABC593" w:rsidR="0020692E" w:rsidRPr="00480F2A" w:rsidRDefault="00306438" w:rsidP="00834924">
      <w:pPr>
        <w:pStyle w:val="ListParagraph"/>
        <w:numPr>
          <w:ilvl w:val="0"/>
          <w:numId w:val="2"/>
        </w:numPr>
        <w:spacing w:after="0" w:line="256" w:lineRule="auto"/>
      </w:pPr>
      <w:r w:rsidRPr="00480F2A">
        <w:t>The parties agree to engage in component-council meetings over component-level reentry</w:t>
      </w:r>
      <w:r w:rsidR="00EB4D20" w:rsidRPr="00480F2A">
        <w:t>, WSP 2.0, and evaluation period</w:t>
      </w:r>
      <w:r w:rsidRPr="00480F2A">
        <w:t xml:space="preserve"> issues as follows:</w:t>
      </w:r>
    </w:p>
    <w:p w14:paraId="312B2239" w14:textId="6F397158" w:rsidR="00306438" w:rsidRPr="00480F2A" w:rsidRDefault="00EB4D20" w:rsidP="00834924">
      <w:pPr>
        <w:pStyle w:val="ListParagraph"/>
        <w:numPr>
          <w:ilvl w:val="1"/>
          <w:numId w:val="2"/>
        </w:numPr>
        <w:spacing w:after="0" w:line="256" w:lineRule="auto"/>
      </w:pPr>
      <w:r w:rsidRPr="00480F2A">
        <w:t>These meetings will begin immediately upon implementation</w:t>
      </w:r>
      <w:r w:rsidR="00826AF3" w:rsidRPr="00480F2A">
        <w:t xml:space="preserve"> for the purpose of expeditiously resolving issues related to re-entry, but no later than </w:t>
      </w:r>
      <w:r w:rsidR="006C7254" w:rsidRPr="00480F2A">
        <w:t>February 1, 2022.</w:t>
      </w:r>
      <w:r w:rsidRPr="00480F2A">
        <w:t xml:space="preserve"> </w:t>
      </w:r>
      <w:r w:rsidR="006C7254" w:rsidRPr="00480F2A">
        <w:t>At least</w:t>
      </w:r>
      <w:r w:rsidR="004716D4" w:rsidRPr="00480F2A">
        <w:t xml:space="preserve"> </w:t>
      </w:r>
      <w:r w:rsidR="00223202" w:rsidRPr="00480F2A">
        <w:t xml:space="preserve">three </w:t>
      </w:r>
      <w:r w:rsidR="006C7254" w:rsidRPr="00480F2A">
        <w:t xml:space="preserve">meetings </w:t>
      </w:r>
      <w:r w:rsidR="00826AF3" w:rsidRPr="00480F2A">
        <w:t xml:space="preserve">will be held </w:t>
      </w:r>
      <w:r w:rsidR="00D71E14" w:rsidRPr="00480F2A">
        <w:t xml:space="preserve">on a mutually agreed upon schedule for </w:t>
      </w:r>
      <w:r w:rsidRPr="00480F2A">
        <w:t xml:space="preserve">at least </w:t>
      </w:r>
      <w:r w:rsidR="00D71E14" w:rsidRPr="00480F2A">
        <w:t>2 hours per meeting</w:t>
      </w:r>
      <w:r w:rsidR="00826AF3" w:rsidRPr="00480F2A">
        <w:t>.</w:t>
      </w:r>
      <w:r w:rsidR="006C7254" w:rsidRPr="00480F2A">
        <w:t xml:space="preserve"> These meetings should be completed by</w:t>
      </w:r>
      <w:r w:rsidR="00943F4D" w:rsidRPr="00480F2A">
        <w:t xml:space="preserve"> </w:t>
      </w:r>
      <w:r w:rsidR="00A2587D" w:rsidRPr="00480F2A">
        <w:t>March 1</w:t>
      </w:r>
      <w:r w:rsidR="006C7254" w:rsidRPr="00480F2A">
        <w:t xml:space="preserve">, 2022. Within seven (7) </w:t>
      </w:r>
      <w:r w:rsidR="006C7254" w:rsidRPr="00480F2A">
        <w:lastRenderedPageBreak/>
        <w:t>workdays from the conclusion of the re-entry meetings, the council may submit a bargaining request on unresolved issues. If a duty to bargain exists, the parties will bargain consistent with Article 4, Section 3 and to the extent required by 5 U.S.C. 71.</w:t>
      </w:r>
      <w:r w:rsidR="00826AF3" w:rsidRPr="00480F2A">
        <w:t xml:space="preserve"> After re-entry, the parties will hold </w:t>
      </w:r>
      <w:r w:rsidR="00867EB6" w:rsidRPr="00480F2A">
        <w:t>no less than</w:t>
      </w:r>
      <w:r w:rsidR="00D71E14" w:rsidRPr="00480F2A">
        <w:t xml:space="preserve"> </w:t>
      </w:r>
      <w:r w:rsidR="00867EB6" w:rsidRPr="00480F2A">
        <w:t>4</w:t>
      </w:r>
      <w:r w:rsidR="00D71E14" w:rsidRPr="00480F2A">
        <w:t xml:space="preserve"> meetings during the evaluation period</w:t>
      </w:r>
      <w:r w:rsidR="00826AF3" w:rsidRPr="00480F2A">
        <w:t>.</w:t>
      </w:r>
      <w:r w:rsidR="00306438" w:rsidRPr="00480F2A">
        <w:t xml:space="preserve"> </w:t>
      </w:r>
      <w:r w:rsidR="00FE3EBB" w:rsidRPr="00480F2A">
        <w:t>Upon mutual agreement, the number of meetings may be reduced</w:t>
      </w:r>
      <w:r w:rsidR="00E165C2" w:rsidRPr="00480F2A">
        <w:t xml:space="preserve"> or increased</w:t>
      </w:r>
      <w:r w:rsidR="00FE3EBB" w:rsidRPr="00480F2A">
        <w:t xml:space="preserve">. </w:t>
      </w:r>
      <w:r w:rsidR="00826AF3" w:rsidRPr="00480F2A">
        <w:t>T</w:t>
      </w:r>
      <w:r w:rsidR="00306438" w:rsidRPr="00480F2A">
        <w:t>he Agency and Union agree to meet via technology at the following levels:</w:t>
      </w:r>
    </w:p>
    <w:p w14:paraId="5ECCAF56" w14:textId="77777777" w:rsidR="00306438" w:rsidRPr="00480F2A" w:rsidRDefault="00306438" w:rsidP="00834924">
      <w:pPr>
        <w:pStyle w:val="ListParagraph"/>
        <w:numPr>
          <w:ilvl w:val="2"/>
          <w:numId w:val="2"/>
        </w:numPr>
        <w:spacing w:after="0" w:line="256" w:lineRule="auto"/>
      </w:pPr>
      <w:r w:rsidRPr="00480F2A">
        <w:t>Council 220</w:t>
      </w:r>
    </w:p>
    <w:p w14:paraId="6D6F4CC8" w14:textId="77777777" w:rsidR="00306438" w:rsidRPr="00480F2A" w:rsidRDefault="00306438" w:rsidP="00834924">
      <w:pPr>
        <w:pStyle w:val="ListParagraph"/>
        <w:numPr>
          <w:ilvl w:val="2"/>
          <w:numId w:val="2"/>
        </w:numPr>
        <w:spacing w:after="0" w:line="256" w:lineRule="auto"/>
      </w:pPr>
      <w:r w:rsidRPr="00480F2A">
        <w:t>Council 215</w:t>
      </w:r>
    </w:p>
    <w:p w14:paraId="61E18CFD" w14:textId="77777777" w:rsidR="00306438" w:rsidRPr="00480F2A" w:rsidRDefault="00306438" w:rsidP="00834924">
      <w:pPr>
        <w:pStyle w:val="ListParagraph"/>
        <w:numPr>
          <w:ilvl w:val="2"/>
          <w:numId w:val="2"/>
        </w:numPr>
        <w:spacing w:after="0" w:line="256" w:lineRule="auto"/>
      </w:pPr>
      <w:r w:rsidRPr="00480F2A">
        <w:t>Council 109</w:t>
      </w:r>
    </w:p>
    <w:p w14:paraId="24EABB53" w14:textId="77777777" w:rsidR="00306438" w:rsidRPr="00480F2A" w:rsidRDefault="00306438" w:rsidP="00834924">
      <w:pPr>
        <w:pStyle w:val="ListParagraph"/>
        <w:numPr>
          <w:ilvl w:val="2"/>
          <w:numId w:val="2"/>
        </w:numPr>
        <w:spacing w:after="0" w:line="256" w:lineRule="auto"/>
      </w:pPr>
      <w:r w:rsidRPr="00480F2A">
        <w:t>Council 224</w:t>
      </w:r>
    </w:p>
    <w:p w14:paraId="5C212AD4" w14:textId="77777777" w:rsidR="00306438" w:rsidRPr="00480F2A" w:rsidRDefault="00306438" w:rsidP="00834924">
      <w:pPr>
        <w:pStyle w:val="ListParagraph"/>
        <w:numPr>
          <w:ilvl w:val="2"/>
          <w:numId w:val="2"/>
        </w:numPr>
        <w:spacing w:after="0" w:line="256" w:lineRule="auto"/>
      </w:pPr>
      <w:r w:rsidRPr="00480F2A">
        <w:t>Local 1923 and</w:t>
      </w:r>
    </w:p>
    <w:p w14:paraId="7F74F262" w14:textId="77777777" w:rsidR="00306438" w:rsidRPr="00480F2A" w:rsidRDefault="00306438" w:rsidP="00834924">
      <w:pPr>
        <w:pStyle w:val="ListParagraph"/>
        <w:numPr>
          <w:ilvl w:val="2"/>
          <w:numId w:val="2"/>
        </w:numPr>
        <w:spacing w:after="0" w:line="256" w:lineRule="auto"/>
      </w:pPr>
      <w:r w:rsidRPr="00480F2A">
        <w:t>Local 2809.</w:t>
      </w:r>
    </w:p>
    <w:p w14:paraId="293A933C" w14:textId="04548C62" w:rsidR="00A30A38" w:rsidRPr="00480F2A" w:rsidRDefault="00306438" w:rsidP="00834924">
      <w:pPr>
        <w:pStyle w:val="ListParagraph"/>
        <w:numPr>
          <w:ilvl w:val="1"/>
          <w:numId w:val="2"/>
        </w:numPr>
        <w:spacing w:after="0" w:line="256" w:lineRule="auto"/>
      </w:pPr>
      <w:r w:rsidRPr="00480F2A">
        <w:t>The Agency and Union may each send up to four representatives to the meetings described above. Union representatives may use official time to attend the meetings, in accordance with Article 30 of the current SSA-AFGE National Agreement.</w:t>
      </w:r>
      <w:r w:rsidR="00A30A38" w:rsidRPr="00480F2A">
        <w:t xml:space="preserve"> Participant</w:t>
      </w:r>
      <w:r w:rsidR="000851C8" w:rsidRPr="00480F2A">
        <w:t>s</w:t>
      </w:r>
      <w:r w:rsidR="00A30A38" w:rsidRPr="00480F2A">
        <w:t xml:space="preserve"> in these meetings must have decision-making authority.</w:t>
      </w:r>
    </w:p>
    <w:p w14:paraId="07BD3252" w14:textId="221A2AF4" w:rsidR="00742AEC" w:rsidRPr="00480F2A" w:rsidRDefault="00306438" w:rsidP="00834924">
      <w:pPr>
        <w:pStyle w:val="ListParagraph"/>
        <w:numPr>
          <w:ilvl w:val="1"/>
          <w:numId w:val="2"/>
        </w:numPr>
        <w:spacing w:after="0" w:line="256" w:lineRule="auto"/>
      </w:pPr>
      <w:r w:rsidRPr="00480F2A">
        <w:t>The purpose of these meetings shall be to discuss component level issues and interests arising from reentry, including safety concerns,</w:t>
      </w:r>
      <w:r w:rsidR="00CE0083" w:rsidRPr="00480F2A">
        <w:t xml:space="preserve"> WSP 2.0 and the evaluation period</w:t>
      </w:r>
      <w:r w:rsidRPr="00480F2A">
        <w:t xml:space="preserve"> that are not addressed in this MOU</w:t>
      </w:r>
      <w:r w:rsidR="00A2587D" w:rsidRPr="00480F2A">
        <w:t>.</w:t>
      </w:r>
    </w:p>
    <w:p w14:paraId="5253CD53" w14:textId="5A45B4BD" w:rsidR="00C10966" w:rsidRDefault="00C10966" w:rsidP="00C10966">
      <w:pPr>
        <w:spacing w:after="0"/>
      </w:pPr>
    </w:p>
    <w:p w14:paraId="21633999" w14:textId="31738765" w:rsidR="00E039EF" w:rsidRPr="00AD08E2" w:rsidRDefault="00576917" w:rsidP="00C10966">
      <w:pPr>
        <w:spacing w:after="0"/>
        <w:rPr>
          <w:b/>
          <w:bCs/>
          <w:i/>
          <w:iCs/>
          <w:color w:val="00B050"/>
        </w:rPr>
      </w:pPr>
      <w:r w:rsidRPr="00AD08E2">
        <w:rPr>
          <w:b/>
          <w:bCs/>
          <w:i/>
          <w:iCs/>
          <w:color w:val="00B050"/>
        </w:rPr>
        <w:t xml:space="preserve">NOTE: The purpose of this process is to allow the parties to meet in partnership-like component-council meetings to (1) resolve component-specific re-entry issues prior to re-entry and (2) </w:t>
      </w:r>
      <w:r w:rsidR="00E039EF" w:rsidRPr="00AD08E2">
        <w:rPr>
          <w:b/>
          <w:bCs/>
          <w:i/>
          <w:iCs/>
          <w:color w:val="00B050"/>
        </w:rPr>
        <w:t xml:space="preserve">engage in cooperative discussions over evaluation period issues. </w:t>
      </w:r>
      <w:r w:rsidR="00D755D3">
        <w:rPr>
          <w:b/>
          <w:bCs/>
          <w:i/>
          <w:iCs/>
          <w:color w:val="00B050"/>
        </w:rPr>
        <w:t>Participants must be decision-makers, which makes these meetings different than the ad hoc calls we have had.</w:t>
      </w:r>
    </w:p>
    <w:p w14:paraId="44445CAF" w14:textId="77777777" w:rsidR="00E039EF" w:rsidRPr="00AD08E2" w:rsidRDefault="00E039EF" w:rsidP="00C10966">
      <w:pPr>
        <w:spacing w:after="0"/>
        <w:rPr>
          <w:b/>
          <w:bCs/>
          <w:i/>
          <w:iCs/>
          <w:color w:val="00B050"/>
        </w:rPr>
      </w:pPr>
    </w:p>
    <w:p w14:paraId="3F339CB6" w14:textId="0DA48303" w:rsidR="00576917" w:rsidRPr="00AD08E2" w:rsidRDefault="00E039EF" w:rsidP="00C10966">
      <w:pPr>
        <w:spacing w:after="0"/>
        <w:rPr>
          <w:b/>
          <w:bCs/>
          <w:i/>
          <w:iCs/>
          <w:color w:val="00B050"/>
        </w:rPr>
      </w:pPr>
      <w:r w:rsidRPr="00AD08E2">
        <w:rPr>
          <w:b/>
          <w:bCs/>
          <w:i/>
          <w:iCs/>
          <w:color w:val="00B050"/>
        </w:rPr>
        <w:t>Regarding the component re-entry issues, a council and a component will engage in meetings to resolve those matters pre-decisionally. After the meetings conclude, a council may file a bargaining demand if the council believes that there are remaining unresolved issues that require bargaining. This bargaining would be pre-implementation in nature at the component level, so the Agency would have to satisfy its duty to bargain prior to a component’s re-entry. If the Agency denies a bargaining demand, the council would have to take necessary action to protect its rights. The incentive here is for the Agency component to iron out all issues during the meetings in order to avoid bargaining that could delay a component’s re-entry.</w:t>
      </w:r>
    </w:p>
    <w:p w14:paraId="7B42D0F8" w14:textId="4D57B3DA" w:rsidR="00E039EF" w:rsidRPr="00AD08E2" w:rsidRDefault="00E039EF" w:rsidP="00C10966">
      <w:pPr>
        <w:spacing w:after="0"/>
        <w:rPr>
          <w:b/>
          <w:bCs/>
          <w:i/>
          <w:iCs/>
          <w:color w:val="00B050"/>
        </w:rPr>
      </w:pPr>
    </w:p>
    <w:p w14:paraId="389B927B" w14:textId="7160EBD7" w:rsidR="00E039EF" w:rsidRPr="00AD08E2" w:rsidRDefault="00E039EF" w:rsidP="00C10966">
      <w:pPr>
        <w:spacing w:after="0"/>
        <w:rPr>
          <w:b/>
          <w:bCs/>
          <w:i/>
          <w:iCs/>
          <w:color w:val="00B050"/>
        </w:rPr>
      </w:pPr>
      <w:r w:rsidRPr="00AD08E2">
        <w:rPr>
          <w:b/>
          <w:bCs/>
          <w:i/>
          <w:iCs/>
          <w:color w:val="00B050"/>
        </w:rPr>
        <w:t>After re-entry, the components and councils would engage in evaluation period meetings</w:t>
      </w:r>
      <w:r w:rsidR="003C075D" w:rsidRPr="00AD08E2">
        <w:rPr>
          <w:b/>
          <w:bCs/>
          <w:i/>
          <w:iCs/>
          <w:color w:val="00B050"/>
        </w:rPr>
        <w:t>. The Agency’s re-entry plan discusses using the evaluation period to develop or revise operational and personnel policies, gather data on policies, develop best practices, etc. These are all issues that affect working conditions, but would give us an opportunity to develop new flexibilities, pilot programs, etc. in a way that we have not been able to in years. Councils can get creative and be proactive. If the Agency component makes decisions based on these meetings, but were not mutually agreed upon</w:t>
      </w:r>
      <w:r w:rsidR="007D7F02" w:rsidRPr="00AD08E2">
        <w:rPr>
          <w:b/>
          <w:bCs/>
          <w:i/>
          <w:iCs/>
          <w:color w:val="00B050"/>
        </w:rPr>
        <w:t xml:space="preserve"> during the meetings</w:t>
      </w:r>
      <w:r w:rsidR="003C075D" w:rsidRPr="00AD08E2">
        <w:rPr>
          <w:b/>
          <w:bCs/>
          <w:i/>
          <w:iCs/>
          <w:color w:val="00B050"/>
        </w:rPr>
        <w:t>, the Agency component will likely have a duty to bargain</w:t>
      </w:r>
      <w:r w:rsidR="007D7F02" w:rsidRPr="00AD08E2">
        <w:rPr>
          <w:b/>
          <w:bCs/>
          <w:i/>
          <w:iCs/>
          <w:color w:val="00B050"/>
        </w:rPr>
        <w:t xml:space="preserve"> if </w:t>
      </w:r>
      <w:r w:rsidR="00D53F16" w:rsidRPr="00AD08E2">
        <w:rPr>
          <w:b/>
          <w:bCs/>
          <w:i/>
          <w:iCs/>
          <w:color w:val="00B050"/>
        </w:rPr>
        <w:t>matters</w:t>
      </w:r>
      <w:r w:rsidR="007D7F02" w:rsidRPr="00AD08E2">
        <w:rPr>
          <w:b/>
          <w:bCs/>
          <w:i/>
          <w:iCs/>
          <w:color w:val="00B050"/>
        </w:rPr>
        <w:t xml:space="preserve"> cannot be resolved through additional meetings or if the meeting process has concluded</w:t>
      </w:r>
      <w:r w:rsidR="003C075D" w:rsidRPr="00AD08E2">
        <w:rPr>
          <w:b/>
          <w:bCs/>
          <w:i/>
          <w:iCs/>
          <w:color w:val="00B050"/>
        </w:rPr>
        <w:t>.</w:t>
      </w:r>
      <w:r w:rsidR="00D53F16" w:rsidRPr="00AD08E2">
        <w:rPr>
          <w:b/>
          <w:bCs/>
          <w:i/>
          <w:iCs/>
          <w:color w:val="00B050"/>
        </w:rPr>
        <w:t xml:space="preserve"> The council can submit bargaining demands in such cases.</w:t>
      </w:r>
    </w:p>
    <w:p w14:paraId="2C9D5E5C" w14:textId="2C39C1C5" w:rsidR="003C075D" w:rsidRPr="00AD08E2" w:rsidRDefault="003C075D" w:rsidP="00C10966">
      <w:pPr>
        <w:spacing w:after="0"/>
        <w:rPr>
          <w:b/>
          <w:bCs/>
          <w:i/>
          <w:iCs/>
          <w:color w:val="00B050"/>
        </w:rPr>
      </w:pPr>
    </w:p>
    <w:p w14:paraId="0D54ED8E" w14:textId="4071B84F" w:rsidR="00576917" w:rsidRPr="00AD08E2" w:rsidRDefault="003C075D" w:rsidP="00C10966">
      <w:pPr>
        <w:spacing w:after="0"/>
        <w:rPr>
          <w:b/>
          <w:bCs/>
          <w:i/>
          <w:iCs/>
          <w:color w:val="FF0000"/>
        </w:rPr>
      </w:pPr>
      <w:r w:rsidRPr="00AD08E2">
        <w:rPr>
          <w:b/>
          <w:bCs/>
          <w:i/>
          <w:iCs/>
          <w:color w:val="00B050"/>
        </w:rPr>
        <w:lastRenderedPageBreak/>
        <w:t xml:space="preserve">Please note that because the meetings are not technically bargaining, the parties are </w:t>
      </w:r>
      <w:r w:rsidR="00613EAA" w:rsidRPr="00AD08E2">
        <w:rPr>
          <w:b/>
          <w:bCs/>
          <w:i/>
          <w:iCs/>
          <w:color w:val="00B050"/>
        </w:rPr>
        <w:t>NOT BOUND</w:t>
      </w:r>
      <w:r w:rsidRPr="00AD08E2">
        <w:rPr>
          <w:b/>
          <w:bCs/>
          <w:i/>
          <w:iCs/>
          <w:color w:val="00B050"/>
        </w:rPr>
        <w:t xml:space="preserve"> by the rules of traditional bargaining (e.g.,</w:t>
      </w:r>
      <w:r w:rsidR="00613EAA" w:rsidRPr="00AD08E2">
        <w:rPr>
          <w:b/>
          <w:bCs/>
          <w:i/>
          <w:iCs/>
          <w:color w:val="00B050"/>
        </w:rPr>
        <w:t xml:space="preserve"> </w:t>
      </w:r>
      <w:r w:rsidRPr="00AD08E2">
        <w:rPr>
          <w:b/>
          <w:bCs/>
          <w:i/>
          <w:iCs/>
          <w:color w:val="00B050"/>
        </w:rPr>
        <w:t>covered by defenses, management rights, etc.). Councils can get creative and make proposals to work with components on during these meetings that they might not be able to in traditional bargaining.</w:t>
      </w:r>
    </w:p>
    <w:p w14:paraId="579ADCC9" w14:textId="77777777" w:rsidR="003C075D" w:rsidRPr="00480F2A" w:rsidRDefault="003C075D" w:rsidP="00C10966">
      <w:pPr>
        <w:spacing w:after="0"/>
      </w:pPr>
    </w:p>
    <w:p w14:paraId="7F764D08" w14:textId="2995EA59" w:rsidR="00C10966" w:rsidRPr="00480F2A" w:rsidRDefault="00C10966" w:rsidP="00C10966">
      <w:pPr>
        <w:pStyle w:val="ListParagraph"/>
        <w:numPr>
          <w:ilvl w:val="0"/>
          <w:numId w:val="2"/>
        </w:numPr>
        <w:spacing w:after="0"/>
        <w:rPr>
          <w:strike/>
        </w:rPr>
      </w:pPr>
      <w:r w:rsidRPr="00480F2A">
        <w:t>The parties recognize that once reentry commences, issues may arise that are not addressed in this MOU. Management will provide the Union with notice and bargain where applicable with Article 4 of the SSA-AFGE National Agreement and to the extent required by 5 U.S.C. 71.</w:t>
      </w:r>
      <w:r w:rsidR="00EE264B" w:rsidRPr="00480F2A">
        <w:rPr>
          <w:strike/>
        </w:rPr>
        <w:t xml:space="preserve"> </w:t>
      </w:r>
    </w:p>
    <w:p w14:paraId="6D2AEC2A" w14:textId="6751D684" w:rsidR="006B1540" w:rsidRDefault="006B1540" w:rsidP="00803BD3">
      <w:pPr>
        <w:spacing w:after="0"/>
      </w:pPr>
    </w:p>
    <w:p w14:paraId="499F839C" w14:textId="68B1F9FB" w:rsidR="00EB585E" w:rsidRPr="00EB585E" w:rsidRDefault="00EB585E" w:rsidP="00803BD3">
      <w:pPr>
        <w:spacing w:after="0"/>
        <w:rPr>
          <w:b/>
          <w:bCs/>
          <w:i/>
          <w:iCs/>
          <w:color w:val="00B050"/>
        </w:rPr>
      </w:pPr>
      <w:r w:rsidRPr="00EB585E">
        <w:rPr>
          <w:b/>
          <w:bCs/>
          <w:i/>
          <w:iCs/>
          <w:color w:val="00B050"/>
        </w:rPr>
        <w:t>NOTE: Self-explanatory.</w:t>
      </w:r>
    </w:p>
    <w:p w14:paraId="249E5A00" w14:textId="77777777" w:rsidR="00EB585E" w:rsidRPr="00480F2A" w:rsidRDefault="00EB585E" w:rsidP="00803BD3">
      <w:pPr>
        <w:spacing w:after="0"/>
      </w:pPr>
    </w:p>
    <w:p w14:paraId="22B2F495" w14:textId="7D5CDBC1" w:rsidR="006B1540" w:rsidRDefault="00EE264B" w:rsidP="00803BD3">
      <w:pPr>
        <w:pStyle w:val="ListParagraph"/>
        <w:numPr>
          <w:ilvl w:val="0"/>
          <w:numId w:val="2"/>
        </w:numPr>
        <w:spacing w:after="0"/>
      </w:pPr>
      <w:bookmarkStart w:id="0" w:name="_Hlk90964485"/>
      <w:r w:rsidRPr="00480F2A">
        <w:t xml:space="preserve">Once finalized, agreements resulting from separate negotiations over the Workplace Safety Plan provided to AFGE on March 15, 2021 and updated cleaning procedures provided to AFGE on August 9, 2021 will remain in effect to the extent terms are consistent with the Reentry Plan, Workplace Safety Plan 2.0, the 2019 SSA-AFGE National Agreement, and </w:t>
      </w:r>
      <w:r w:rsidR="00C07459" w:rsidRPr="00480F2A">
        <w:t xml:space="preserve">not inconsistent with </w:t>
      </w:r>
      <w:r w:rsidRPr="00480F2A">
        <w:t>this MOU.</w:t>
      </w:r>
      <w:bookmarkEnd w:id="0"/>
    </w:p>
    <w:p w14:paraId="6E677B63" w14:textId="03774E77" w:rsidR="00C324C9" w:rsidRDefault="00C324C9" w:rsidP="00C324C9">
      <w:pPr>
        <w:spacing w:after="0"/>
      </w:pPr>
    </w:p>
    <w:p w14:paraId="1309DA4A" w14:textId="438EDE58" w:rsidR="00C324C9" w:rsidRPr="00674F33" w:rsidRDefault="00C324C9" w:rsidP="00C324C9">
      <w:pPr>
        <w:spacing w:after="0"/>
        <w:rPr>
          <w:b/>
          <w:bCs/>
          <w:i/>
          <w:iCs/>
          <w:color w:val="00B050"/>
        </w:rPr>
      </w:pPr>
      <w:r w:rsidRPr="00674F33">
        <w:rPr>
          <w:b/>
          <w:bCs/>
          <w:i/>
          <w:iCs/>
          <w:color w:val="00B050"/>
        </w:rPr>
        <w:t xml:space="preserve">NOTE: Self-explanatory. Component-level agreements/understandings/decisions/etc. reached through paragraph 2 would </w:t>
      </w:r>
      <w:r w:rsidR="00674F33" w:rsidRPr="00674F33">
        <w:rPr>
          <w:b/>
          <w:bCs/>
          <w:i/>
          <w:iCs/>
          <w:color w:val="00B050"/>
        </w:rPr>
        <w:t>take precedence, as they were reached per this MOU’s procedures.</w:t>
      </w:r>
    </w:p>
    <w:p w14:paraId="735AFD81" w14:textId="77777777" w:rsidR="00803BD3" w:rsidRPr="00480F2A" w:rsidRDefault="00803BD3" w:rsidP="00480F2A">
      <w:pPr>
        <w:spacing w:after="0"/>
      </w:pPr>
    </w:p>
    <w:p w14:paraId="35589FD9" w14:textId="6AF37238" w:rsidR="00803BD3" w:rsidRDefault="003E65A2" w:rsidP="00803BD3">
      <w:pPr>
        <w:pStyle w:val="ListParagraph"/>
        <w:numPr>
          <w:ilvl w:val="0"/>
          <w:numId w:val="2"/>
        </w:numPr>
        <w:spacing w:after="0"/>
      </w:pPr>
      <w:r w:rsidRPr="00480F2A">
        <w:t>Local management will complete t</w:t>
      </w:r>
      <w:r w:rsidR="006B1540" w:rsidRPr="00480F2A">
        <w:t xml:space="preserve">he Telework Request and Agreement process </w:t>
      </w:r>
      <w:r w:rsidRPr="00480F2A">
        <w:t xml:space="preserve">before requiring employees to </w:t>
      </w:r>
      <w:r w:rsidR="006B1540" w:rsidRPr="00480F2A">
        <w:t>re-ent</w:t>
      </w:r>
      <w:r w:rsidRPr="00480F2A">
        <w:t>er</w:t>
      </w:r>
      <w:r w:rsidR="006B1540" w:rsidRPr="00480F2A">
        <w:t xml:space="preserve"> </w:t>
      </w:r>
      <w:r w:rsidRPr="00480F2A">
        <w:t>their official duty station</w:t>
      </w:r>
      <w:r w:rsidR="006B1540" w:rsidRPr="00480F2A">
        <w:t>.</w:t>
      </w:r>
      <w:r w:rsidR="00E250E7" w:rsidRPr="00480F2A">
        <w:t xml:space="preserve"> The agency will inform employees about telework sign-up as soon as possible to facilitate their ability to plan.</w:t>
      </w:r>
    </w:p>
    <w:p w14:paraId="1871B094" w14:textId="5D77F90A" w:rsidR="00CB44B1" w:rsidRDefault="00CB44B1" w:rsidP="00CB44B1">
      <w:pPr>
        <w:spacing w:after="0"/>
      </w:pPr>
    </w:p>
    <w:p w14:paraId="5E99E1CD" w14:textId="516C95A8" w:rsidR="00CB44B1" w:rsidRPr="00CB44B1" w:rsidRDefault="00CB44B1" w:rsidP="00CB44B1">
      <w:pPr>
        <w:spacing w:after="0"/>
        <w:rPr>
          <w:b/>
          <w:bCs/>
          <w:i/>
          <w:iCs/>
          <w:color w:val="00B050"/>
        </w:rPr>
      </w:pPr>
      <w:r w:rsidRPr="00CB44B1">
        <w:rPr>
          <w:b/>
          <w:bCs/>
          <w:i/>
          <w:iCs/>
          <w:color w:val="00B050"/>
        </w:rPr>
        <w:t>NOTE: Self-explanatory.</w:t>
      </w:r>
    </w:p>
    <w:p w14:paraId="3A755727" w14:textId="77777777" w:rsidR="00803BD3" w:rsidRPr="00480F2A" w:rsidRDefault="00803BD3" w:rsidP="00803BD3">
      <w:pPr>
        <w:spacing w:after="0"/>
      </w:pPr>
    </w:p>
    <w:p w14:paraId="3832CAA8" w14:textId="7AB1137C" w:rsidR="00803BD3" w:rsidRPr="00480F2A" w:rsidRDefault="000E3CD1" w:rsidP="006F51AB">
      <w:pPr>
        <w:pStyle w:val="ListParagraph"/>
        <w:numPr>
          <w:ilvl w:val="0"/>
          <w:numId w:val="2"/>
        </w:numPr>
        <w:spacing w:after="0"/>
      </w:pPr>
      <w:r w:rsidRPr="00480F2A">
        <w:t>For the duration of this MOU: Employees with children in remote learning due to a verified COVID-related school</w:t>
      </w:r>
      <w:r w:rsidR="000E4415" w:rsidRPr="00480F2A">
        <w:t xml:space="preserve"> or child/dependent care</w:t>
      </w:r>
      <w:r w:rsidRPr="00480F2A">
        <w:t xml:space="preserve"> closure may request and normally be approved for episodic telework in accordance with Article 41. Employees with a documented inability to enroll children in in-person learning may request and normally be approved for a Temporary Compassionate Assignment as an expansion of Article 27, Section 10 (herein “TCA”), no longer than the current (2021-2022) school year. </w:t>
      </w:r>
      <w:r w:rsidR="00231CF1" w:rsidRPr="00480F2A">
        <w:t>E</w:t>
      </w:r>
      <w:r w:rsidRPr="00480F2A">
        <w:t>mployees with dependent family members located in their household deemed ‘high risk for COVID’ by a medical provider may request, and normally be approved for, a TCA. At the end of this MOU, these expansions under TCA will no longer be available. For the purposes of this MOU, TCA means assignment to the employee’s alternate duty station.</w:t>
      </w:r>
      <w:r w:rsidR="00996185" w:rsidRPr="00480F2A">
        <w:t xml:space="preserve"> </w:t>
      </w:r>
    </w:p>
    <w:p w14:paraId="51207310" w14:textId="4DB61EF4" w:rsidR="00803BD3" w:rsidRDefault="00803BD3" w:rsidP="00803BD3">
      <w:pPr>
        <w:spacing w:after="0"/>
      </w:pPr>
    </w:p>
    <w:p w14:paraId="5ECE5712" w14:textId="10EF4CC6" w:rsidR="00CB44B1" w:rsidRPr="00CB44B1" w:rsidRDefault="00CB44B1" w:rsidP="00803BD3">
      <w:pPr>
        <w:spacing w:after="0"/>
        <w:rPr>
          <w:b/>
          <w:bCs/>
          <w:i/>
          <w:iCs/>
          <w:color w:val="00B050"/>
        </w:rPr>
      </w:pPr>
      <w:r w:rsidRPr="00CB44B1">
        <w:rPr>
          <w:b/>
          <w:bCs/>
          <w:i/>
          <w:iCs/>
          <w:color w:val="00B050"/>
        </w:rPr>
        <w:t>NOTE: This paragraph tries to cover as many employees as possible that would have been eligible for Work At Home for Quarantine (WAHQ), which the Agency will discontinue upon re-entry. TCA is basically WAHQ by another name. Employees in hig</w:t>
      </w:r>
      <w:r>
        <w:rPr>
          <w:b/>
          <w:bCs/>
          <w:i/>
          <w:iCs/>
          <w:color w:val="00B050"/>
        </w:rPr>
        <w:t>h</w:t>
      </w:r>
      <w:r w:rsidRPr="00CB44B1">
        <w:rPr>
          <w:b/>
          <w:bCs/>
          <w:i/>
          <w:iCs/>
          <w:color w:val="00B050"/>
        </w:rPr>
        <w:t xml:space="preserve"> risk categories may seek a reasonable accommodation, which is discussed below.</w:t>
      </w:r>
    </w:p>
    <w:p w14:paraId="7235F2D3" w14:textId="77777777" w:rsidR="00CB44B1" w:rsidRPr="00480F2A" w:rsidRDefault="00CB44B1" w:rsidP="00803BD3">
      <w:pPr>
        <w:spacing w:after="0"/>
      </w:pPr>
    </w:p>
    <w:p w14:paraId="0AE5559F" w14:textId="381DFB65" w:rsidR="006B1540" w:rsidRDefault="00CD7A8A" w:rsidP="00803BD3">
      <w:pPr>
        <w:pStyle w:val="ListParagraph"/>
        <w:numPr>
          <w:ilvl w:val="0"/>
          <w:numId w:val="2"/>
        </w:numPr>
        <w:spacing w:after="0"/>
      </w:pPr>
      <w:r w:rsidRPr="00480F2A">
        <w:t xml:space="preserve">Within </w:t>
      </w:r>
      <w:r w:rsidR="00CE42D0" w:rsidRPr="00480F2A">
        <w:t xml:space="preserve">60 </w:t>
      </w:r>
      <w:r w:rsidRPr="00480F2A">
        <w:t>days from implementation of this agreement, t</w:t>
      </w:r>
      <w:r w:rsidR="00803BD3" w:rsidRPr="00480F2A">
        <w:t xml:space="preserve">he parties will meet </w:t>
      </w:r>
      <w:r w:rsidRPr="00480F2A">
        <w:t>to bargain over</w:t>
      </w:r>
      <w:r w:rsidR="00803BD3" w:rsidRPr="00480F2A">
        <w:t xml:space="preserve"> </w:t>
      </w:r>
      <w:r w:rsidRPr="00480F2A">
        <w:t xml:space="preserve">increasing </w:t>
      </w:r>
      <w:r w:rsidR="00803BD3" w:rsidRPr="00480F2A">
        <w:t>transit and parking subsidies</w:t>
      </w:r>
      <w:r w:rsidR="00CE42D0" w:rsidRPr="00480F2A">
        <w:t xml:space="preserve"> following the evaluation period</w:t>
      </w:r>
      <w:r w:rsidR="00803BD3" w:rsidRPr="00480F2A">
        <w:t>, for the purpose of easing commuting costs on employees returning to offices and to better attract and retain employees.</w:t>
      </w:r>
      <w:r w:rsidR="00CE42D0" w:rsidRPr="00480F2A">
        <w:t xml:space="preserve"> For the duration of the MOU, the Agency will reimburse employees (with duty stations outside of the </w:t>
      </w:r>
      <w:r w:rsidR="00CE42D0" w:rsidRPr="00480F2A">
        <w:lastRenderedPageBreak/>
        <w:t>National Capital Region) under Article 13, Section 6 and Sidebar, for allowable transportation expenses in accordance with government wide rules and regulations up to $110 per month.</w:t>
      </w:r>
    </w:p>
    <w:p w14:paraId="71421307" w14:textId="77777777" w:rsidR="00D755D3" w:rsidRPr="00480F2A" w:rsidRDefault="00D755D3" w:rsidP="00D755D3">
      <w:pPr>
        <w:pStyle w:val="ListParagraph"/>
        <w:spacing w:after="0"/>
        <w:ind w:left="360"/>
      </w:pPr>
    </w:p>
    <w:p w14:paraId="60B76935" w14:textId="1F954B42" w:rsidR="00803BD3" w:rsidRPr="00CB44B1" w:rsidRDefault="00CB44B1" w:rsidP="00803BD3">
      <w:pPr>
        <w:spacing w:after="0"/>
        <w:rPr>
          <w:b/>
          <w:bCs/>
          <w:i/>
          <w:iCs/>
          <w:color w:val="00B050"/>
        </w:rPr>
      </w:pPr>
      <w:r w:rsidRPr="00CB44B1">
        <w:rPr>
          <w:b/>
          <w:bCs/>
          <w:i/>
          <w:iCs/>
          <w:color w:val="00B050"/>
        </w:rPr>
        <w:t>NOTE: The parties will bargain over subsidies that would be implemented following the end of the evaluation period. During the life of the MOU, eligible employees outside of the National Capital Region will receive an increased subsidies. This is a good win for our employees, short term and long term.</w:t>
      </w:r>
    </w:p>
    <w:p w14:paraId="6FB90985" w14:textId="77777777" w:rsidR="00CB44B1" w:rsidRPr="00480F2A" w:rsidRDefault="00CB44B1" w:rsidP="00803BD3">
      <w:pPr>
        <w:spacing w:after="0"/>
      </w:pPr>
    </w:p>
    <w:p w14:paraId="226F5FBD" w14:textId="6B88C0B3" w:rsidR="0017686C" w:rsidRPr="00480F2A" w:rsidRDefault="00BE1F9A" w:rsidP="00803BD3">
      <w:pPr>
        <w:pStyle w:val="ListParagraph"/>
        <w:numPr>
          <w:ilvl w:val="0"/>
          <w:numId w:val="2"/>
        </w:numPr>
        <w:spacing w:after="0"/>
      </w:pPr>
      <w:r w:rsidRPr="00480F2A">
        <w:t>T</w:t>
      </w:r>
      <w:r w:rsidR="0017686C" w:rsidRPr="00480F2A">
        <w:t>he parties agree to the following, consistent with the parties’ experience with evacuation telework:</w:t>
      </w:r>
    </w:p>
    <w:p w14:paraId="2D786D25" w14:textId="77777777" w:rsidR="00040126" w:rsidRPr="00480F2A" w:rsidRDefault="00040126" w:rsidP="00040126">
      <w:pPr>
        <w:pStyle w:val="ListParagraph"/>
      </w:pPr>
    </w:p>
    <w:p w14:paraId="13ACBE86" w14:textId="29EC8927" w:rsidR="00706F9A" w:rsidRPr="00480F2A" w:rsidRDefault="00706F9A" w:rsidP="00040126">
      <w:pPr>
        <w:pStyle w:val="ListParagraph"/>
        <w:numPr>
          <w:ilvl w:val="0"/>
          <w:numId w:val="1"/>
        </w:numPr>
        <w:spacing w:after="0"/>
      </w:pPr>
      <w:r w:rsidRPr="00480F2A">
        <w:t xml:space="preserve">If telework eligible, Union representatives will be allowed to use </w:t>
      </w:r>
      <w:r w:rsidR="002524F2" w:rsidRPr="00480F2A">
        <w:t>official</w:t>
      </w:r>
      <w:r w:rsidR="00763816" w:rsidRPr="00480F2A">
        <w:t xml:space="preserve"> </w:t>
      </w:r>
      <w:r w:rsidRPr="00480F2A">
        <w:t>time at their alternate duty stations not withstanding Article 30, Section 4.A. All other provisions of Article 30 remain in effect, except as modified by the</w:t>
      </w:r>
      <w:r w:rsidR="002524F2" w:rsidRPr="00480F2A">
        <w:t xml:space="preserve"> official </w:t>
      </w:r>
      <w:r w:rsidRPr="00480F2A">
        <w:t>time sidebar dated November 2, 2021.</w:t>
      </w:r>
      <w:r w:rsidR="00C41D9B" w:rsidRPr="00480F2A">
        <w:t xml:space="preserve"> This MOU does not add any </w:t>
      </w:r>
      <w:r w:rsidR="005C7DA8">
        <w:t>official</w:t>
      </w:r>
      <w:r w:rsidR="00C41D9B" w:rsidRPr="00480F2A">
        <w:t xml:space="preserve"> time.</w:t>
      </w:r>
      <w:r w:rsidRPr="00480F2A">
        <w:t xml:space="preserve"> </w:t>
      </w:r>
    </w:p>
    <w:p w14:paraId="7E81B10E" w14:textId="62E473FF" w:rsidR="0017686C" w:rsidRPr="00480F2A" w:rsidRDefault="00040126" w:rsidP="00803BD3">
      <w:pPr>
        <w:pStyle w:val="ListParagraph"/>
        <w:numPr>
          <w:ilvl w:val="0"/>
          <w:numId w:val="1"/>
        </w:numPr>
        <w:spacing w:after="0"/>
      </w:pPr>
      <w:r w:rsidRPr="00480F2A">
        <w:t xml:space="preserve">Normally, </w:t>
      </w:r>
      <w:r w:rsidR="00BE1F9A" w:rsidRPr="00480F2A">
        <w:t>t</w:t>
      </w:r>
      <w:r w:rsidR="00EE264B" w:rsidRPr="00480F2A">
        <w:t xml:space="preserve">here will </w:t>
      </w:r>
      <w:r w:rsidR="00BE1F9A" w:rsidRPr="00480F2A">
        <w:t>be</w:t>
      </w:r>
      <w:r w:rsidR="00EE264B" w:rsidRPr="00480F2A">
        <w:t xml:space="preserve"> no core days for telework</w:t>
      </w:r>
      <w:r w:rsidR="0017686C" w:rsidRPr="00480F2A">
        <w:t>.</w:t>
      </w:r>
    </w:p>
    <w:p w14:paraId="41241D44" w14:textId="418E8116" w:rsidR="00D23D1D" w:rsidRPr="00480F2A" w:rsidRDefault="00D23D1D" w:rsidP="00803BD3">
      <w:pPr>
        <w:pStyle w:val="ListParagraph"/>
        <w:numPr>
          <w:ilvl w:val="0"/>
          <w:numId w:val="1"/>
        </w:numPr>
        <w:spacing w:after="0"/>
      </w:pPr>
      <w:r w:rsidRPr="00480F2A">
        <w:t>Employees</w:t>
      </w:r>
      <w:r w:rsidR="002B39B2" w:rsidRPr="00480F2A">
        <w:t xml:space="preserve"> in an eligible position</w:t>
      </w:r>
      <w:r w:rsidRPr="00480F2A">
        <w:t xml:space="preserve"> will be eligible for telework if they have completed appropriate agency telework training, sign and abide by a telework program request and agreement, use approved appropriate technology,</w:t>
      </w:r>
      <w:r w:rsidR="00EB0E36" w:rsidRPr="00480F2A">
        <w:t xml:space="preserve"> there is sufficient available portable work to perform,</w:t>
      </w:r>
      <w:r w:rsidRPr="00480F2A">
        <w:t xml:space="preserve"> and are not excluded from participation by law, or by government-wide rule or regulation. Provisions related to ineligibility or termination due to issues such as discipline</w:t>
      </w:r>
      <w:r w:rsidR="00132D4A" w:rsidRPr="00480F2A">
        <w:t xml:space="preserve"> other than adverse action</w:t>
      </w:r>
      <w:r w:rsidR="00097613" w:rsidRPr="00480F2A">
        <w:t>s covered by Article 23, Section 7</w:t>
      </w:r>
      <w:r w:rsidRPr="00480F2A">
        <w:t xml:space="preserve">, </w:t>
      </w:r>
      <w:r w:rsidR="002B39B2" w:rsidRPr="00480F2A">
        <w:t>p</w:t>
      </w:r>
      <w:r w:rsidRPr="00480F2A">
        <w:t>robationary</w:t>
      </w:r>
      <w:r w:rsidR="002B39B2" w:rsidRPr="00480F2A">
        <w:t xml:space="preserve"> or </w:t>
      </w:r>
      <w:r w:rsidR="006F5B4C" w:rsidRPr="00480F2A">
        <w:t>trainee</w:t>
      </w:r>
      <w:r w:rsidR="002B39B2" w:rsidRPr="00480F2A">
        <w:t xml:space="preserve"> status</w:t>
      </w:r>
      <w:r w:rsidRPr="00480F2A">
        <w:t>,</w:t>
      </w:r>
      <w:r w:rsidR="006F5B4C" w:rsidRPr="00480F2A">
        <w:t xml:space="preserve"> where their training can be successfully completed remotely, </w:t>
      </w:r>
      <w:r w:rsidRPr="00480F2A">
        <w:t>sick leave restriction or counseling, etc. will not apply, except where required by law.</w:t>
      </w:r>
    </w:p>
    <w:p w14:paraId="6165117D" w14:textId="50F60F5C" w:rsidR="006F628F" w:rsidRPr="00480F2A" w:rsidRDefault="006F628F" w:rsidP="006F628F">
      <w:pPr>
        <w:pStyle w:val="ListParagraph"/>
        <w:numPr>
          <w:ilvl w:val="0"/>
          <w:numId w:val="1"/>
        </w:numPr>
        <w:spacing w:after="0"/>
      </w:pPr>
      <w:r w:rsidRPr="00480F2A">
        <w:t>If the employee does not maintain any hard copy official records and/or hard copy official information at the ADS, the employee is not required to have a locked file cabinet.</w:t>
      </w:r>
    </w:p>
    <w:p w14:paraId="0AB82CBE" w14:textId="2D33F607" w:rsidR="006F628F" w:rsidRPr="00480F2A" w:rsidRDefault="006F628F" w:rsidP="006F628F">
      <w:pPr>
        <w:pStyle w:val="ListParagraph"/>
        <w:numPr>
          <w:ilvl w:val="0"/>
          <w:numId w:val="1"/>
        </w:numPr>
        <w:spacing w:after="0"/>
      </w:pPr>
      <w:r w:rsidRPr="00480F2A">
        <w:t>Normally, Management will not inspect the ADS to ensure conformity with the conditions set forth in the Telework Agreement.</w:t>
      </w:r>
    </w:p>
    <w:p w14:paraId="13ABF52B" w14:textId="1029FBF5" w:rsidR="00EB0E36" w:rsidRPr="00480F2A" w:rsidRDefault="007F28EE" w:rsidP="002B39B2">
      <w:pPr>
        <w:pStyle w:val="ListParagraph"/>
        <w:numPr>
          <w:ilvl w:val="0"/>
          <w:numId w:val="1"/>
        </w:numPr>
        <w:spacing w:after="0"/>
      </w:pPr>
      <w:r w:rsidRPr="00480F2A">
        <w:t xml:space="preserve">Portable work and non-portable work shall be </w:t>
      </w:r>
      <w:r w:rsidR="00231CF1" w:rsidRPr="00480F2A">
        <w:t xml:space="preserve">defined </w:t>
      </w:r>
      <w:r w:rsidRPr="00480F2A">
        <w:t>using the definitions in the Portable Work MOU.</w:t>
      </w:r>
      <w:r w:rsidR="0028741A" w:rsidRPr="00480F2A">
        <w:t xml:space="preserve"> Both portable work and non-</w:t>
      </w:r>
      <w:r w:rsidR="00231CF1" w:rsidRPr="00480F2A">
        <w:t xml:space="preserve">portable </w:t>
      </w:r>
      <w:r w:rsidR="0028741A" w:rsidRPr="00480F2A">
        <w:t>work</w:t>
      </w:r>
      <w:r w:rsidR="00231CF1" w:rsidRPr="00480F2A">
        <w:t xml:space="preserve"> will be performed in the official duty station (ODS).</w:t>
      </w:r>
    </w:p>
    <w:p w14:paraId="2024076F" w14:textId="4F9D7AF0" w:rsidR="001F2FD9" w:rsidRPr="00480F2A" w:rsidRDefault="001F2FD9" w:rsidP="00803BD3">
      <w:pPr>
        <w:pStyle w:val="ListParagraph"/>
        <w:numPr>
          <w:ilvl w:val="0"/>
          <w:numId w:val="1"/>
        </w:numPr>
        <w:spacing w:after="0"/>
      </w:pPr>
      <w:r w:rsidRPr="00480F2A">
        <w:t>On non-duty time, union members may solicit employees for</w:t>
      </w:r>
      <w:r w:rsidR="006F628F" w:rsidRPr="00480F2A">
        <w:t xml:space="preserve"> union</w:t>
      </w:r>
      <w:r w:rsidRPr="00480F2A">
        <w:t xml:space="preserve"> membership using the Agency email system</w:t>
      </w:r>
      <w:r w:rsidR="00763816" w:rsidRPr="00480F2A">
        <w:t xml:space="preserve"> not withstanding Article 11, Section 6.A.5. All other provisions of Article 11, Section 6 remain in effect</w:t>
      </w:r>
      <w:r w:rsidRPr="00480F2A">
        <w:t>.</w:t>
      </w:r>
    </w:p>
    <w:p w14:paraId="65BC39DC" w14:textId="3D74E1B1" w:rsidR="003534B0" w:rsidRDefault="003534B0" w:rsidP="00803BD3">
      <w:pPr>
        <w:spacing w:after="0"/>
      </w:pPr>
    </w:p>
    <w:p w14:paraId="48031E6A" w14:textId="1918440C" w:rsidR="00CB44B1" w:rsidRPr="00CB44B1" w:rsidRDefault="00CB44B1" w:rsidP="00803BD3">
      <w:pPr>
        <w:spacing w:after="0"/>
        <w:rPr>
          <w:b/>
          <w:bCs/>
          <w:i/>
          <w:iCs/>
          <w:color w:val="00B050"/>
        </w:rPr>
      </w:pPr>
      <w:r>
        <w:rPr>
          <w:b/>
          <w:bCs/>
          <w:i/>
          <w:iCs/>
          <w:color w:val="00B050"/>
        </w:rPr>
        <w:t xml:space="preserve">NOTE: </w:t>
      </w:r>
      <w:r w:rsidR="00A87843">
        <w:rPr>
          <w:b/>
          <w:bCs/>
          <w:i/>
          <w:iCs/>
          <w:color w:val="00B050"/>
        </w:rPr>
        <w:t>During the life of the MOU, t</w:t>
      </w:r>
      <w:r>
        <w:rPr>
          <w:b/>
          <w:bCs/>
          <w:i/>
          <w:iCs/>
          <w:color w:val="00B050"/>
        </w:rPr>
        <w:t xml:space="preserve">his section addresses </w:t>
      </w:r>
      <w:r w:rsidR="00A87843">
        <w:rPr>
          <w:b/>
          <w:bCs/>
          <w:i/>
          <w:iCs/>
          <w:color w:val="00B050"/>
        </w:rPr>
        <w:t xml:space="preserve">several </w:t>
      </w:r>
      <w:r>
        <w:rPr>
          <w:b/>
          <w:bCs/>
          <w:i/>
          <w:iCs/>
          <w:color w:val="00B050"/>
        </w:rPr>
        <w:t>major barriers to telework participation that are found in the 2019 contract</w:t>
      </w:r>
      <w:r w:rsidR="00A87843">
        <w:rPr>
          <w:b/>
          <w:bCs/>
          <w:i/>
          <w:iCs/>
          <w:color w:val="00B050"/>
        </w:rPr>
        <w:t xml:space="preserve"> and removes them, locks in a definition of portable work, and (for the first time) allows the Union to use the Agency email system to solicit union membership while on non-duty time.</w:t>
      </w:r>
      <w:r w:rsidR="0084205A">
        <w:rPr>
          <w:b/>
          <w:bCs/>
          <w:i/>
          <w:iCs/>
          <w:color w:val="00B050"/>
        </w:rPr>
        <w:t xml:space="preserve"> A step forward in bringing our </w:t>
      </w:r>
      <w:r w:rsidR="004110AF">
        <w:rPr>
          <w:b/>
          <w:bCs/>
          <w:i/>
          <w:iCs/>
          <w:color w:val="00B050"/>
        </w:rPr>
        <w:t>telework policy</w:t>
      </w:r>
      <w:r w:rsidR="0084205A">
        <w:rPr>
          <w:b/>
          <w:bCs/>
          <w:i/>
          <w:iCs/>
          <w:color w:val="00B050"/>
        </w:rPr>
        <w:t xml:space="preserve"> into the 21</w:t>
      </w:r>
      <w:r w:rsidR="0084205A" w:rsidRPr="0084205A">
        <w:rPr>
          <w:b/>
          <w:bCs/>
          <w:i/>
          <w:iCs/>
          <w:color w:val="00B050"/>
          <w:vertAlign w:val="superscript"/>
        </w:rPr>
        <w:t>st</w:t>
      </w:r>
      <w:r w:rsidR="0084205A">
        <w:rPr>
          <w:b/>
          <w:bCs/>
          <w:i/>
          <w:iCs/>
          <w:color w:val="00B050"/>
        </w:rPr>
        <w:t xml:space="preserve"> century.</w:t>
      </w:r>
    </w:p>
    <w:p w14:paraId="71530A47" w14:textId="77777777" w:rsidR="00CB44B1" w:rsidRPr="00480F2A" w:rsidRDefault="00CB44B1" w:rsidP="00803BD3">
      <w:pPr>
        <w:spacing w:after="0"/>
      </w:pPr>
    </w:p>
    <w:p w14:paraId="15B09E83" w14:textId="27838E04" w:rsidR="001518F1" w:rsidRPr="00480F2A" w:rsidRDefault="00763816" w:rsidP="002B39B2">
      <w:pPr>
        <w:pStyle w:val="ListParagraph"/>
        <w:numPr>
          <w:ilvl w:val="0"/>
          <w:numId w:val="2"/>
        </w:numPr>
        <w:spacing w:after="0"/>
      </w:pPr>
      <w:bookmarkStart w:id="1" w:name="_Hlk90967717"/>
      <w:r w:rsidRPr="00480F2A">
        <w:t>For the duration of this MOU, all AFGE employees, contractors, visitors, and members of the public to SSA facilities will be required to wear masks, regardless of their asserted vaccination status except where prohibited by law.</w:t>
      </w:r>
      <w:bookmarkEnd w:id="1"/>
    </w:p>
    <w:p w14:paraId="46EF1F16" w14:textId="0BED702D" w:rsidR="002E3644" w:rsidRDefault="002E3644" w:rsidP="00803BD3">
      <w:pPr>
        <w:spacing w:after="0"/>
      </w:pPr>
    </w:p>
    <w:p w14:paraId="42CB8A1B" w14:textId="33E651C0" w:rsidR="00227AC4" w:rsidRPr="00227AC4" w:rsidRDefault="00227AC4" w:rsidP="00803BD3">
      <w:pPr>
        <w:spacing w:after="0"/>
        <w:rPr>
          <w:b/>
          <w:bCs/>
          <w:i/>
          <w:iCs/>
          <w:color w:val="00B050"/>
        </w:rPr>
      </w:pPr>
      <w:r w:rsidRPr="00227AC4">
        <w:rPr>
          <w:b/>
          <w:bCs/>
          <w:i/>
          <w:iCs/>
          <w:color w:val="00B050"/>
        </w:rPr>
        <w:lastRenderedPageBreak/>
        <w:t xml:space="preserve">NOTE: Based on feedback from members and representatives, we </w:t>
      </w:r>
      <w:r w:rsidR="004F208D">
        <w:rPr>
          <w:b/>
          <w:bCs/>
          <w:i/>
          <w:iCs/>
          <w:color w:val="00B050"/>
        </w:rPr>
        <w:t>agreed to</w:t>
      </w:r>
      <w:r w:rsidRPr="00227AC4">
        <w:rPr>
          <w:b/>
          <w:bCs/>
          <w:i/>
          <w:iCs/>
          <w:color w:val="00B050"/>
        </w:rPr>
        <w:t xml:space="preserve"> a universal mask policy at SSA during the life of the MOU.</w:t>
      </w:r>
      <w:r>
        <w:rPr>
          <w:b/>
          <w:bCs/>
          <w:i/>
          <w:iCs/>
          <w:color w:val="00B050"/>
        </w:rPr>
        <w:t xml:space="preserve"> We have seen that even vaccinated people can contract and spread COVID, so this is a matter of common sense for all. Under the Agency’s original plan, visitors would be allowed to go maskless without proof of vaccination status, which would put employees and visitors alike at unnecessary risk. </w:t>
      </w:r>
    </w:p>
    <w:p w14:paraId="0884251F" w14:textId="77777777" w:rsidR="00227AC4" w:rsidRPr="00480F2A" w:rsidRDefault="00227AC4" w:rsidP="00803BD3">
      <w:pPr>
        <w:spacing w:after="0"/>
      </w:pPr>
    </w:p>
    <w:p w14:paraId="4CFC4B8E" w14:textId="25DB0074" w:rsidR="00D23D1D" w:rsidRDefault="00227565" w:rsidP="00803BD3">
      <w:pPr>
        <w:pStyle w:val="ListParagraph"/>
        <w:numPr>
          <w:ilvl w:val="0"/>
          <w:numId w:val="2"/>
        </w:numPr>
        <w:spacing w:after="0"/>
      </w:pPr>
      <w:r w:rsidRPr="00480F2A">
        <w:t xml:space="preserve">Consistent with management’s duty to maintain </w:t>
      </w:r>
      <w:r w:rsidR="002E3644" w:rsidRPr="00480F2A">
        <w:t xml:space="preserve">a </w:t>
      </w:r>
      <w:r w:rsidRPr="00480F2A">
        <w:t>safe and healthy work environment per Article 9,</w:t>
      </w:r>
      <w:r w:rsidR="00763816" w:rsidRPr="00480F2A">
        <w:t xml:space="preserve"> </w:t>
      </w:r>
      <w:r w:rsidR="007F28EE" w:rsidRPr="00480F2A">
        <w:t>the Agency</w:t>
      </w:r>
      <w:r w:rsidR="00763816" w:rsidRPr="00480F2A">
        <w:t xml:space="preserve"> will</w:t>
      </w:r>
      <w:r w:rsidR="007F28EE" w:rsidRPr="00480F2A">
        <w:t xml:space="preserve"> </w:t>
      </w:r>
      <w:r w:rsidRPr="00480F2A">
        <w:t xml:space="preserve">supervise lobbies, waiting rooms, and other points of entry to SSA facilities for compliance with screening and mask policies in real time. </w:t>
      </w:r>
      <w:r w:rsidR="002E3644" w:rsidRPr="00480F2A">
        <w:t xml:space="preserve">Management will take immediate action to address visitors who are not in compliance, including </w:t>
      </w:r>
      <w:r w:rsidR="00AC0239" w:rsidRPr="00480F2A">
        <w:t>directing</w:t>
      </w:r>
      <w:r w:rsidR="002E3644" w:rsidRPr="00480F2A">
        <w:t xml:space="preserve"> them to leave the facility if they refuse to comply.</w:t>
      </w:r>
    </w:p>
    <w:p w14:paraId="5DAD237A" w14:textId="085F6141" w:rsidR="004F208D" w:rsidRDefault="004F208D" w:rsidP="004F208D">
      <w:pPr>
        <w:spacing w:after="0"/>
      </w:pPr>
    </w:p>
    <w:p w14:paraId="4E22AC24" w14:textId="1F50905A" w:rsidR="004F208D" w:rsidRPr="00B92B44" w:rsidRDefault="004F208D" w:rsidP="004F208D">
      <w:pPr>
        <w:spacing w:after="0"/>
        <w:rPr>
          <w:b/>
          <w:bCs/>
          <w:i/>
          <w:iCs/>
          <w:color w:val="00B050"/>
        </w:rPr>
      </w:pPr>
      <w:r w:rsidRPr="00B92B44">
        <w:rPr>
          <w:b/>
          <w:bCs/>
          <w:i/>
          <w:iCs/>
          <w:color w:val="00B050"/>
        </w:rPr>
        <w:t>NOTE: It is not an employee’s responsibility to enforce SSA’s policies here. It is management’s alone. If employees note visitors are not in compliance, they should report the situation to management</w:t>
      </w:r>
      <w:r w:rsidR="00B92B44">
        <w:rPr>
          <w:b/>
          <w:bCs/>
          <w:i/>
          <w:iCs/>
          <w:color w:val="00B050"/>
        </w:rPr>
        <w:t xml:space="preserve"> for immediate action</w:t>
      </w:r>
      <w:r w:rsidRPr="00B92B44">
        <w:rPr>
          <w:b/>
          <w:bCs/>
          <w:i/>
          <w:iCs/>
          <w:color w:val="00B050"/>
        </w:rPr>
        <w:t xml:space="preserve">. </w:t>
      </w:r>
      <w:r w:rsidR="00B92B44" w:rsidRPr="00B92B44">
        <w:rPr>
          <w:b/>
          <w:bCs/>
          <w:i/>
          <w:iCs/>
          <w:color w:val="00B050"/>
        </w:rPr>
        <w:t>Union reps can take action to enforce this provision and the contract as necessary.</w:t>
      </w:r>
      <w:r w:rsidR="00B92B44">
        <w:rPr>
          <w:b/>
          <w:bCs/>
          <w:i/>
          <w:iCs/>
          <w:color w:val="00B050"/>
        </w:rPr>
        <w:t xml:space="preserve"> Ideally, management should take this seriously and be proactive.</w:t>
      </w:r>
    </w:p>
    <w:p w14:paraId="7A235F95" w14:textId="77777777" w:rsidR="00803BD3" w:rsidRPr="00480F2A" w:rsidRDefault="00803BD3" w:rsidP="00803BD3">
      <w:pPr>
        <w:pStyle w:val="ListParagraph"/>
        <w:spacing w:after="0"/>
        <w:ind w:left="360"/>
      </w:pPr>
    </w:p>
    <w:p w14:paraId="00D1B2C0" w14:textId="1EFC09C5" w:rsidR="00803BD3" w:rsidRDefault="007F28EE" w:rsidP="00763816">
      <w:pPr>
        <w:pStyle w:val="ListParagraph"/>
        <w:numPr>
          <w:ilvl w:val="0"/>
          <w:numId w:val="2"/>
        </w:numPr>
        <w:spacing w:after="0"/>
      </w:pPr>
      <w:r w:rsidRPr="00480F2A">
        <w:t>If an employee needs office equipment while working in the office (e.g., headset, monitor, docking station, etc.), the employee will be responsible for returning it to the office. If an employee will be primarily teleworking</w:t>
      </w:r>
      <w:r w:rsidR="00E81D2D" w:rsidRPr="00480F2A">
        <w:t xml:space="preserve"> (e.g., a majority of the work week/pay period)</w:t>
      </w:r>
      <w:r w:rsidRPr="00480F2A">
        <w:t xml:space="preserve">, it may not be necessary for them to return certain equipment to the office. Employees who were provided with agency office equipment during the evacuation period as a reasonable accommodation will be allowed to keep that equipment at the alternate duty station if they continue to telework. </w:t>
      </w:r>
      <w:r w:rsidR="00E81D2D" w:rsidRPr="00480F2A">
        <w:t xml:space="preserve">Employees who will not telework during the reentry will be given reasonable duty time to return agency office equipment to the official duty station. </w:t>
      </w:r>
    </w:p>
    <w:p w14:paraId="460F7FEA" w14:textId="5E7D0B2F" w:rsidR="00F31E89" w:rsidRDefault="00F31E89" w:rsidP="00F31E89">
      <w:pPr>
        <w:spacing w:after="0"/>
      </w:pPr>
    </w:p>
    <w:p w14:paraId="7E22E363" w14:textId="3AA0201D" w:rsidR="00F31E89" w:rsidRPr="00F31E89" w:rsidRDefault="00F31E89" w:rsidP="00F31E89">
      <w:pPr>
        <w:spacing w:after="0"/>
        <w:rPr>
          <w:b/>
          <w:bCs/>
          <w:i/>
          <w:iCs/>
          <w:color w:val="00B050"/>
        </w:rPr>
      </w:pPr>
      <w:r w:rsidRPr="00F31E89">
        <w:rPr>
          <w:b/>
          <w:bCs/>
          <w:i/>
          <w:iCs/>
          <w:color w:val="00B050"/>
        </w:rPr>
        <w:t xml:space="preserve">NOTE: Self-explanatory. </w:t>
      </w:r>
    </w:p>
    <w:p w14:paraId="0EA41EBF" w14:textId="77777777" w:rsidR="00E81D2D" w:rsidRPr="00480F2A" w:rsidRDefault="00E81D2D" w:rsidP="00E81D2D">
      <w:pPr>
        <w:pStyle w:val="ListParagraph"/>
        <w:spacing w:after="0"/>
        <w:ind w:left="360"/>
      </w:pPr>
    </w:p>
    <w:p w14:paraId="42087873" w14:textId="2BFCCA0F" w:rsidR="0087526A" w:rsidRDefault="00B404E2" w:rsidP="00763816">
      <w:pPr>
        <w:pStyle w:val="ListParagraph"/>
        <w:numPr>
          <w:ilvl w:val="0"/>
          <w:numId w:val="2"/>
        </w:numPr>
        <w:spacing w:after="0"/>
      </w:pPr>
      <w:r w:rsidRPr="00480F2A">
        <w:t>The Agency recognizes that employees may need accommodation during and after the re-entry process. The Agency will expedite processing of reasonable accommodation</w:t>
      </w:r>
      <w:r w:rsidR="00C836A9" w:rsidRPr="00480F2A">
        <w:t xml:space="preserve"> (RA)</w:t>
      </w:r>
      <w:r w:rsidRPr="00480F2A">
        <w:t xml:space="preserve"> requests related to re-entry and</w:t>
      </w:r>
      <w:r w:rsidR="003A3AF9" w:rsidRPr="00480F2A">
        <w:t xml:space="preserve"> WSP 2.0 (including</w:t>
      </w:r>
      <w:r w:rsidRPr="00480F2A">
        <w:t xml:space="preserve"> new telework schedules</w:t>
      </w:r>
      <w:r w:rsidR="003A3AF9" w:rsidRPr="00480F2A">
        <w:t>)</w:t>
      </w:r>
      <w:r w:rsidRPr="00480F2A">
        <w:t xml:space="preserve">. </w:t>
      </w:r>
      <w:r w:rsidR="00C836A9" w:rsidRPr="00480F2A">
        <w:t xml:space="preserve">The RA process will not be curtailed at any step (e.g., interactive process), nor will RA requests be denied, to meet arbitrary deadlines or reentry dates. </w:t>
      </w:r>
      <w:r w:rsidRPr="00480F2A">
        <w:t xml:space="preserve">Employees with pending RA requests </w:t>
      </w:r>
      <w:r w:rsidR="009A2E86" w:rsidRPr="00480F2A">
        <w:t xml:space="preserve">related to re-entry and </w:t>
      </w:r>
      <w:r w:rsidR="003A3AF9" w:rsidRPr="00480F2A">
        <w:t xml:space="preserve">WSP 2.0 (including </w:t>
      </w:r>
      <w:r w:rsidR="009A2E86" w:rsidRPr="00480F2A">
        <w:t>new telework schedules</w:t>
      </w:r>
      <w:r w:rsidR="003A3AF9" w:rsidRPr="00480F2A">
        <w:t>)</w:t>
      </w:r>
      <w:r w:rsidR="009A2E86" w:rsidRPr="00480F2A">
        <w:t xml:space="preserve"> </w:t>
      </w:r>
      <w:r w:rsidRPr="00480F2A">
        <w:t>will not be required to return to the official duty station until the request is resolved</w:t>
      </w:r>
      <w:r w:rsidR="009A2E86" w:rsidRPr="00480F2A">
        <w:t>, unless the RA request(s) would cause undue hardship on the Agency as defined in 29 C.F.R. 1614.203, and no interim alternative accommodation can be found.</w:t>
      </w:r>
    </w:p>
    <w:p w14:paraId="1BE06CE8" w14:textId="7ECD14D0" w:rsidR="00F31E89" w:rsidRDefault="00F31E89" w:rsidP="00F31E89">
      <w:pPr>
        <w:spacing w:after="0"/>
      </w:pPr>
    </w:p>
    <w:p w14:paraId="1CA46F3E" w14:textId="7A7DAC63" w:rsidR="00F31E89" w:rsidRPr="00F31E89" w:rsidRDefault="00F31E89" w:rsidP="00F31E89">
      <w:pPr>
        <w:spacing w:after="0"/>
        <w:rPr>
          <w:b/>
          <w:bCs/>
          <w:i/>
          <w:iCs/>
          <w:color w:val="00B050"/>
        </w:rPr>
      </w:pPr>
      <w:r w:rsidRPr="00F31E89">
        <w:rPr>
          <w:b/>
          <w:bCs/>
          <w:i/>
          <w:iCs/>
          <w:color w:val="00B050"/>
        </w:rPr>
        <w:t>NOTE: This paragraph is intended to provide additional protections to employees seeking RA’s during and after the re-entry process. Importantly, employees with pending RA requests will not be required to return to the official duty station, unless it could cause an undue hardship for the agency as defined by federal regulations and there is no other interim accommodation.</w:t>
      </w:r>
      <w:r w:rsidR="00D755D3">
        <w:rPr>
          <w:b/>
          <w:bCs/>
          <w:i/>
          <w:iCs/>
          <w:color w:val="00B050"/>
        </w:rPr>
        <w:t xml:space="preserve"> This will be helpful in protecting employees in high risk COVID categories, employees who cannot be vaccinated, etc.</w:t>
      </w:r>
    </w:p>
    <w:p w14:paraId="3573DACA" w14:textId="77777777" w:rsidR="00803BD3" w:rsidRPr="00480F2A" w:rsidRDefault="00803BD3" w:rsidP="00803BD3">
      <w:pPr>
        <w:spacing w:after="0"/>
      </w:pPr>
    </w:p>
    <w:p w14:paraId="7067CD28" w14:textId="67CB4B69" w:rsidR="00197BA1" w:rsidRPr="0084205A" w:rsidRDefault="004C0040" w:rsidP="00763816">
      <w:pPr>
        <w:pStyle w:val="ListParagraph"/>
        <w:numPr>
          <w:ilvl w:val="0"/>
          <w:numId w:val="2"/>
        </w:numPr>
        <w:spacing w:after="0"/>
      </w:pPr>
      <w:r w:rsidRPr="00480F2A">
        <w:lastRenderedPageBreak/>
        <w:t>Employees will not normally be disciplined</w:t>
      </w:r>
      <w:r w:rsidR="007E277A" w:rsidRPr="00480F2A">
        <w:t xml:space="preserve"> for issues related to self-screening, as many COVID symptoms are common to other conditions, such as allergies, the common cold, etc. </w:t>
      </w:r>
      <w:r w:rsidR="00CE55D1" w:rsidRPr="00480F2A">
        <w:t>Normally, i</w:t>
      </w:r>
      <w:r w:rsidR="007E277A" w:rsidRPr="00480F2A">
        <w:t>f management directs an employee to leave the office or not to report to the office, the employee will</w:t>
      </w:r>
      <w:r w:rsidR="00CE55D1" w:rsidRPr="00480F2A">
        <w:t xml:space="preserve"> take personal leave (if too ill to work),</w:t>
      </w:r>
      <w:r w:rsidR="007E277A" w:rsidRPr="00480F2A">
        <w:t xml:space="preserve"> be granted episodic telework (</w:t>
      </w:r>
      <w:r w:rsidR="00CE55D1" w:rsidRPr="00480F2A">
        <w:t>if the employee is able to work and</w:t>
      </w:r>
      <w:r w:rsidR="007E277A" w:rsidRPr="00480F2A">
        <w:t xml:space="preserve"> portable work is available) or </w:t>
      </w:r>
      <w:r w:rsidR="00CE55D1" w:rsidRPr="00480F2A">
        <w:t xml:space="preserve">be granted </w:t>
      </w:r>
      <w:r w:rsidR="007E277A" w:rsidRPr="00480F2A">
        <w:t>weather and safety leave until such time as the employee is symptom-free</w:t>
      </w:r>
      <w:r w:rsidR="00CE55D1" w:rsidRPr="00480F2A">
        <w:t xml:space="preserve"> or COVID has been ruled out by the employee’s medical provider.</w:t>
      </w:r>
      <w:r w:rsidR="00CE55D1" w:rsidRPr="00480F2A">
        <w:rPr>
          <w:rFonts w:cstheme="minorHAnsi"/>
        </w:rPr>
        <w:t xml:space="preserve"> If an employee indicates symptoms and is unable to work at the official duty station for more than four working days, administratively acceptable medical documentation may be required.</w:t>
      </w:r>
    </w:p>
    <w:p w14:paraId="7D18DCB3" w14:textId="1332BC23" w:rsidR="0084205A" w:rsidRDefault="0084205A" w:rsidP="0084205A">
      <w:pPr>
        <w:spacing w:after="0"/>
      </w:pPr>
    </w:p>
    <w:p w14:paraId="1C684011" w14:textId="27972EB2" w:rsidR="0084205A" w:rsidRPr="0084205A" w:rsidRDefault="0084205A" w:rsidP="0084205A">
      <w:pPr>
        <w:spacing w:after="0"/>
        <w:rPr>
          <w:b/>
          <w:bCs/>
          <w:i/>
          <w:iCs/>
        </w:rPr>
      </w:pPr>
      <w:r w:rsidRPr="0084205A">
        <w:rPr>
          <w:b/>
          <w:bCs/>
          <w:i/>
          <w:iCs/>
          <w:color w:val="00B050"/>
        </w:rPr>
        <w:t>NOTE: Self-explanatory.</w:t>
      </w:r>
    </w:p>
    <w:p w14:paraId="4DDFBB70" w14:textId="77777777" w:rsidR="00803BD3" w:rsidRPr="00480F2A" w:rsidRDefault="00803BD3" w:rsidP="00803BD3">
      <w:pPr>
        <w:spacing w:after="0"/>
      </w:pPr>
    </w:p>
    <w:p w14:paraId="654CF1FA" w14:textId="5D673E7C" w:rsidR="00861F30" w:rsidRPr="00480F2A" w:rsidRDefault="00967D56" w:rsidP="00763816">
      <w:pPr>
        <w:pStyle w:val="ListParagraph"/>
        <w:numPr>
          <w:ilvl w:val="0"/>
          <w:numId w:val="2"/>
        </w:numPr>
        <w:spacing w:after="0"/>
      </w:pPr>
      <w:r w:rsidRPr="00480F2A">
        <w:t>During the evaluation period, e</w:t>
      </w:r>
      <w:r w:rsidR="005B53CE" w:rsidRPr="00480F2A">
        <w:t>mployees will</w:t>
      </w:r>
      <w:r w:rsidR="006A0EF5" w:rsidRPr="00480F2A">
        <w:t xml:space="preserve"> normally</w:t>
      </w:r>
      <w:r w:rsidR="005B53CE" w:rsidRPr="00480F2A">
        <w:t xml:space="preserve"> be granted a grace period of up to</w:t>
      </w:r>
      <w:r w:rsidR="008135DF" w:rsidRPr="00480F2A">
        <w:t xml:space="preserve"> a total of</w:t>
      </w:r>
      <w:r w:rsidR="005B53CE" w:rsidRPr="00480F2A">
        <w:t xml:space="preserve"> 15 minutes </w:t>
      </w:r>
      <w:r w:rsidR="006A0EF5" w:rsidRPr="00480F2A">
        <w:t xml:space="preserve">per day </w:t>
      </w:r>
      <w:r w:rsidR="005B53CE" w:rsidRPr="00480F2A">
        <w:t>when entering an SSA installation due to delays caused by safety protocols (e.g., limits on numbers of persons on elevator</w:t>
      </w:r>
      <w:r w:rsidR="002B39B2" w:rsidRPr="00480F2A">
        <w:t>s)</w:t>
      </w:r>
      <w:r w:rsidR="005B53CE" w:rsidRPr="00480F2A">
        <w:t>. This applies to signing on at the start of the workday, or returning from a rest break, meal break, or period of leave.</w:t>
      </w:r>
      <w:r w:rsidR="00332469" w:rsidRPr="00480F2A">
        <w:t xml:space="preserve"> These requests should be infrequent in nature.</w:t>
      </w:r>
    </w:p>
    <w:p w14:paraId="587C6150" w14:textId="2F9A04EF" w:rsidR="00803BD3" w:rsidRDefault="00803BD3" w:rsidP="00803BD3">
      <w:pPr>
        <w:spacing w:after="0"/>
      </w:pPr>
    </w:p>
    <w:p w14:paraId="42BC0BA2" w14:textId="6B7AAF3D" w:rsidR="0084205A" w:rsidRPr="0084205A" w:rsidRDefault="0084205A" w:rsidP="00803BD3">
      <w:pPr>
        <w:spacing w:after="0"/>
        <w:rPr>
          <w:b/>
          <w:bCs/>
          <w:i/>
          <w:iCs/>
          <w:color w:val="00B050"/>
        </w:rPr>
      </w:pPr>
      <w:r w:rsidRPr="0084205A">
        <w:rPr>
          <w:b/>
          <w:bCs/>
          <w:i/>
          <w:iCs/>
          <w:color w:val="00B050"/>
        </w:rPr>
        <w:t>NOTE: This paragraph is intended to give employees some leeway with respect to delays caused by compliance with COVID safety protocols, especially in larger federal and private buildings with many floors, multiple tenants, shared facilities, etc. This is intended to operate similar to the 5-minute grace period employees get when logging onto the system at the start of the day and signing into WebTA. For example, if an employee is delayed because of occupancy limits on elevators, the employee can put a comment into WebTA that they were delayed at the elevator for ten minutes for that reason. They can count their start time as ten minutes earlier. However, management did not want this to be a regular occurrence, hence the “infrequent in nature” language. If employees find themselves in a regular situation, they should communicate with their supervisors about why the delays keep occurring despite the employee arriving</w:t>
      </w:r>
      <w:r>
        <w:rPr>
          <w:b/>
          <w:bCs/>
          <w:i/>
          <w:iCs/>
          <w:color w:val="00B050"/>
        </w:rPr>
        <w:t xml:space="preserve"> on-site</w:t>
      </w:r>
      <w:r w:rsidRPr="0084205A">
        <w:rPr>
          <w:b/>
          <w:bCs/>
          <w:i/>
          <w:iCs/>
          <w:color w:val="00B050"/>
        </w:rPr>
        <w:t xml:space="preserve"> on time, as there may be an issue that needs to be discussed with the lessor/GSA.</w:t>
      </w:r>
    </w:p>
    <w:p w14:paraId="6725121F" w14:textId="77777777" w:rsidR="0084205A" w:rsidRPr="00480F2A" w:rsidRDefault="0084205A" w:rsidP="00803BD3">
      <w:pPr>
        <w:spacing w:after="0"/>
      </w:pPr>
    </w:p>
    <w:p w14:paraId="09D1F3A0" w14:textId="7FD328C6" w:rsidR="00A5500C" w:rsidRPr="00CC1C5E" w:rsidRDefault="00471BA9" w:rsidP="00763816">
      <w:pPr>
        <w:pStyle w:val="ListParagraph"/>
        <w:numPr>
          <w:ilvl w:val="0"/>
          <w:numId w:val="2"/>
        </w:numPr>
        <w:spacing w:after="0"/>
        <w:rPr>
          <w:strike/>
        </w:rPr>
      </w:pPr>
      <w:r w:rsidRPr="00480F2A">
        <w:t xml:space="preserve">Management </w:t>
      </w:r>
      <w:r w:rsidR="00BE1F9A" w:rsidRPr="00480F2A">
        <w:t xml:space="preserve">may </w:t>
      </w:r>
      <w:r w:rsidRPr="00480F2A">
        <w:t>excuse rare occurrences of tardiness of less than one hour related to the employee’s adjustment to commuting, in accordance with Article 31.</w:t>
      </w:r>
    </w:p>
    <w:p w14:paraId="62D03D92" w14:textId="7510FFD2" w:rsidR="00CC1C5E" w:rsidRDefault="00CC1C5E" w:rsidP="00CC1C5E">
      <w:pPr>
        <w:spacing w:after="0"/>
        <w:rPr>
          <w:strike/>
        </w:rPr>
      </w:pPr>
    </w:p>
    <w:p w14:paraId="28331EF1" w14:textId="78E23001" w:rsidR="00CC1C5E" w:rsidRPr="0053310C" w:rsidRDefault="00CC1C5E" w:rsidP="00CC1C5E">
      <w:pPr>
        <w:spacing w:after="0"/>
        <w:rPr>
          <w:b/>
          <w:bCs/>
          <w:i/>
          <w:iCs/>
          <w:color w:val="00B050"/>
        </w:rPr>
      </w:pPr>
      <w:r w:rsidRPr="0053310C">
        <w:rPr>
          <w:b/>
          <w:bCs/>
          <w:i/>
          <w:iCs/>
          <w:color w:val="00B050"/>
        </w:rPr>
        <w:t>NOTE: Generally self-explanatory. It may take employees time to get used to commuting again, so this paragraph gives some latitude if they arrive late as a result.</w:t>
      </w:r>
    </w:p>
    <w:p w14:paraId="343D0E14" w14:textId="77777777" w:rsidR="00803BD3" w:rsidRPr="00480F2A" w:rsidRDefault="00803BD3" w:rsidP="00803BD3">
      <w:pPr>
        <w:spacing w:after="0"/>
      </w:pPr>
    </w:p>
    <w:p w14:paraId="25EEDB3F" w14:textId="4984D16D" w:rsidR="00620B45" w:rsidRDefault="00262743" w:rsidP="00763816">
      <w:pPr>
        <w:pStyle w:val="ListParagraph"/>
        <w:numPr>
          <w:ilvl w:val="0"/>
          <w:numId w:val="2"/>
        </w:numPr>
        <w:spacing w:after="0"/>
      </w:pPr>
      <w:r w:rsidRPr="00480F2A">
        <w:t xml:space="preserve">Employees who </w:t>
      </w:r>
      <w:r w:rsidR="002F497D" w:rsidRPr="00480F2A">
        <w:t xml:space="preserve">are not scheduled to report twice </w:t>
      </w:r>
      <w:r w:rsidRPr="00480F2A">
        <w:t xml:space="preserve">per pay period, will not have </w:t>
      </w:r>
      <w:r w:rsidR="002F497D" w:rsidRPr="00480F2A">
        <w:t xml:space="preserve">their locality pay </w:t>
      </w:r>
      <w:r w:rsidRPr="00480F2A">
        <w:t xml:space="preserve">adjustments affected if their alternate duty station is in the same locality pay area as their official duty station. </w:t>
      </w:r>
      <w:r w:rsidR="00CC48C8" w:rsidRPr="00480F2A">
        <w:t xml:space="preserve">If such employees have their alternate duty station in a different locality pay area than the official duty station, the Agency may need to effectuate a personnel action to revise the employee’s locality pay area to that of the alternate duty station, which may change the employee’s locality pay adjustment. Management will inform and assist employees timely, so that employees can make a fully informed decision regarding the number of days they will telework prior to re-entry. The Agency will normally waive any salary overpayments that may result from </w:t>
      </w:r>
      <w:r w:rsidR="002F497D" w:rsidRPr="00480F2A">
        <w:t xml:space="preserve">management </w:t>
      </w:r>
      <w:r w:rsidR="00CC48C8" w:rsidRPr="00480F2A">
        <w:t>errors made in this process</w:t>
      </w:r>
      <w:r w:rsidR="00936E9C" w:rsidRPr="00480F2A">
        <w:t xml:space="preserve"> (e.g., situations in which employees rely upon information provided and </w:t>
      </w:r>
      <w:r w:rsidR="00936E9C" w:rsidRPr="00480F2A">
        <w:lastRenderedPageBreak/>
        <w:t>actions taken by management, in which the employee had no reasonable basis to know about the error)</w:t>
      </w:r>
      <w:r w:rsidR="00CC48C8" w:rsidRPr="00480F2A">
        <w:t xml:space="preserve">. </w:t>
      </w:r>
    </w:p>
    <w:p w14:paraId="076325F5" w14:textId="3F881F3C" w:rsidR="0053310C" w:rsidRDefault="0053310C" w:rsidP="0053310C">
      <w:pPr>
        <w:spacing w:after="0"/>
      </w:pPr>
    </w:p>
    <w:p w14:paraId="64230A13" w14:textId="5FB13235" w:rsidR="0053310C" w:rsidRPr="0053310C" w:rsidRDefault="0053310C" w:rsidP="0053310C">
      <w:pPr>
        <w:spacing w:after="0"/>
        <w:rPr>
          <w:b/>
          <w:bCs/>
          <w:i/>
          <w:iCs/>
          <w:color w:val="00B050"/>
        </w:rPr>
      </w:pPr>
      <w:r w:rsidRPr="0053310C">
        <w:rPr>
          <w:b/>
          <w:bCs/>
          <w:i/>
          <w:iCs/>
          <w:color w:val="00B050"/>
        </w:rPr>
        <w:t>NOTE: Locality pay is a major issue for many employees in light of some components’ decisions to expand telework to five days a week for many positions, which could cause loss of some or all of an employee’s locality pay, depending on where they live (ADS) versus where they work (ODS). Management will assist employees who live in a different locality pay area than the ODS in determining what impact (if any) five days of telework will have on their locality pay so that employees can make informed decisions prior to deciding on the number of telework days they will work after re-entry. Management will also normally waive any salary overpayments that might result from this process, which is a big deal considering the amounts of money that could potentially be involved.</w:t>
      </w:r>
    </w:p>
    <w:p w14:paraId="3235B7CF" w14:textId="77777777" w:rsidR="00CD7A8A" w:rsidRPr="00480F2A" w:rsidRDefault="00CD7A8A" w:rsidP="00CD7A8A">
      <w:pPr>
        <w:pStyle w:val="ListParagraph"/>
      </w:pPr>
    </w:p>
    <w:p w14:paraId="13AEC12E" w14:textId="2BDFF64B" w:rsidR="00CD7A8A" w:rsidRDefault="00CD7A8A" w:rsidP="00763816">
      <w:pPr>
        <w:pStyle w:val="ListParagraph"/>
        <w:numPr>
          <w:ilvl w:val="0"/>
          <w:numId w:val="2"/>
        </w:numPr>
        <w:spacing w:after="0"/>
      </w:pPr>
      <w:r w:rsidRPr="00480F2A">
        <w:t xml:space="preserve">Prior to re-entry at any installation, local management will conduct a </w:t>
      </w:r>
      <w:r w:rsidR="00614574" w:rsidRPr="00480F2A">
        <w:t xml:space="preserve">staff meeting </w:t>
      </w:r>
      <w:r w:rsidRPr="00480F2A">
        <w:t xml:space="preserve">for all employees to go over the re-entry process, telework </w:t>
      </w:r>
      <w:r w:rsidR="00614574" w:rsidRPr="00480F2A">
        <w:t>requirements and agreements</w:t>
      </w:r>
      <w:r w:rsidRPr="00480F2A">
        <w:t>, the contents of the Workplace Safety Plan, and other related matters. The local union representative will be invited to be present and participate in the meeting.</w:t>
      </w:r>
    </w:p>
    <w:p w14:paraId="49F86952" w14:textId="26A44B5C" w:rsidR="0053310C" w:rsidRDefault="0053310C" w:rsidP="0053310C">
      <w:pPr>
        <w:spacing w:after="0"/>
      </w:pPr>
    </w:p>
    <w:p w14:paraId="07EBCE8F" w14:textId="19211032" w:rsidR="0053310C" w:rsidRPr="0053310C" w:rsidRDefault="0053310C" w:rsidP="0053310C">
      <w:pPr>
        <w:spacing w:after="0"/>
        <w:rPr>
          <w:b/>
          <w:bCs/>
          <w:i/>
          <w:iCs/>
        </w:rPr>
      </w:pPr>
      <w:r w:rsidRPr="00296071">
        <w:rPr>
          <w:b/>
          <w:bCs/>
          <w:i/>
          <w:iCs/>
          <w:color w:val="00B050"/>
        </w:rPr>
        <w:t xml:space="preserve">NOTE: Self-explanatory. </w:t>
      </w:r>
    </w:p>
    <w:p w14:paraId="00EBDB76" w14:textId="77777777" w:rsidR="00CD7A8A" w:rsidRPr="00480F2A" w:rsidRDefault="00CD7A8A" w:rsidP="00CD7A8A">
      <w:pPr>
        <w:pStyle w:val="ListParagraph"/>
      </w:pPr>
    </w:p>
    <w:p w14:paraId="325BA594" w14:textId="24771F04" w:rsidR="00CD7A8A" w:rsidRDefault="00CD7A8A" w:rsidP="00763816">
      <w:pPr>
        <w:pStyle w:val="ListParagraph"/>
        <w:numPr>
          <w:ilvl w:val="0"/>
          <w:numId w:val="2"/>
        </w:numPr>
        <w:spacing w:after="0"/>
      </w:pPr>
      <w:r w:rsidRPr="00480F2A">
        <w:t>Prior to re-entry, local management will conduct a semiannual health and safety inspection</w:t>
      </w:r>
      <w:r w:rsidR="00614574" w:rsidRPr="00480F2A">
        <w:t>, if one had not been done within the six months prior to re-entry</w:t>
      </w:r>
      <w:r w:rsidR="00C54F77" w:rsidRPr="00480F2A">
        <w:t>, in accordance with Article 9</w:t>
      </w:r>
      <w:r w:rsidR="0002060D" w:rsidRPr="00480F2A">
        <w:t xml:space="preserve"> and</w:t>
      </w:r>
      <w:r w:rsidR="008135DF" w:rsidRPr="00480F2A">
        <w:t xml:space="preserve"> AIMS</w:t>
      </w:r>
      <w:r w:rsidR="00C54F77" w:rsidRPr="00480F2A">
        <w:t>.</w:t>
      </w:r>
      <w:r w:rsidR="009C5A12" w:rsidRPr="00480F2A">
        <w:t xml:space="preserve"> If the Agency intends to change any relevant provision of the AIMS during the life of this MOU, it will notify the General Committee Spokesperson of any change(s) in advance, and, if necessary, provide notice and bargain to the extent required by Article 4 and 5 U.S.C. 71.</w:t>
      </w:r>
    </w:p>
    <w:p w14:paraId="08ED8F8F" w14:textId="1735B5B8" w:rsidR="00296071" w:rsidRDefault="00296071" w:rsidP="00296071">
      <w:pPr>
        <w:spacing w:after="0"/>
      </w:pPr>
    </w:p>
    <w:p w14:paraId="02890D51" w14:textId="525DF27F" w:rsidR="00296071" w:rsidRPr="00296071" w:rsidRDefault="00296071" w:rsidP="00296071">
      <w:pPr>
        <w:spacing w:after="0"/>
        <w:rPr>
          <w:b/>
          <w:bCs/>
          <w:i/>
          <w:iCs/>
          <w:color w:val="00B050"/>
        </w:rPr>
      </w:pPr>
      <w:r w:rsidRPr="00296071">
        <w:rPr>
          <w:b/>
          <w:bCs/>
          <w:i/>
          <w:iCs/>
          <w:color w:val="00B050"/>
        </w:rPr>
        <w:t>NOTE: Self-explanatory.</w:t>
      </w:r>
    </w:p>
    <w:p w14:paraId="154A2CE8" w14:textId="77777777" w:rsidR="00CD7A8A" w:rsidRPr="00480F2A" w:rsidRDefault="00CD7A8A" w:rsidP="00CD7A8A">
      <w:pPr>
        <w:pStyle w:val="ListParagraph"/>
      </w:pPr>
    </w:p>
    <w:p w14:paraId="3CDA80EF" w14:textId="77777777" w:rsidR="00296071" w:rsidRDefault="00CD7A8A" w:rsidP="00763816">
      <w:pPr>
        <w:pStyle w:val="ListParagraph"/>
        <w:numPr>
          <w:ilvl w:val="0"/>
          <w:numId w:val="2"/>
        </w:numPr>
        <w:spacing w:after="0"/>
      </w:pPr>
      <w:r w:rsidRPr="00480F2A">
        <w:t>As soon as possible after re-entry, local management will conduct fire drills and other safety exercises relevant to reoccupancy of an installation.</w:t>
      </w:r>
    </w:p>
    <w:p w14:paraId="6B573AC0" w14:textId="77777777" w:rsidR="00296071" w:rsidRDefault="00296071" w:rsidP="00296071">
      <w:pPr>
        <w:spacing w:after="0"/>
      </w:pPr>
    </w:p>
    <w:p w14:paraId="0C75C35A" w14:textId="77777777" w:rsidR="00296071" w:rsidRPr="00296071" w:rsidRDefault="00296071" w:rsidP="00296071">
      <w:pPr>
        <w:spacing w:after="0"/>
        <w:rPr>
          <w:b/>
          <w:bCs/>
          <w:i/>
          <w:iCs/>
          <w:color w:val="00B050"/>
        </w:rPr>
      </w:pPr>
      <w:r w:rsidRPr="00296071">
        <w:rPr>
          <w:b/>
          <w:bCs/>
          <w:i/>
          <w:iCs/>
          <w:color w:val="00B050"/>
        </w:rPr>
        <w:t>NOTE: Self-explanatory.</w:t>
      </w:r>
    </w:p>
    <w:p w14:paraId="20EC64BF" w14:textId="77777777" w:rsidR="00CD7A8A" w:rsidRPr="00480F2A" w:rsidRDefault="00CD7A8A" w:rsidP="00CD7A8A">
      <w:pPr>
        <w:pStyle w:val="ListParagraph"/>
      </w:pPr>
    </w:p>
    <w:p w14:paraId="0514CF35" w14:textId="277B004E" w:rsidR="008A255F" w:rsidRPr="00480F2A" w:rsidRDefault="008A255F" w:rsidP="00763816">
      <w:pPr>
        <w:pStyle w:val="ListParagraph"/>
        <w:numPr>
          <w:ilvl w:val="0"/>
          <w:numId w:val="2"/>
        </w:numPr>
        <w:spacing w:after="0"/>
      </w:pPr>
      <w:r w:rsidRPr="00480F2A">
        <w:t>Nothing in this MOU waives any statutory or contractual rights of the Union</w:t>
      </w:r>
      <w:r w:rsidR="00AE4E37" w:rsidRPr="00480F2A">
        <w:t>,</w:t>
      </w:r>
      <w:r w:rsidRPr="00480F2A">
        <w:t xml:space="preserve"> employees</w:t>
      </w:r>
      <w:r w:rsidR="00AE4E37" w:rsidRPr="00480F2A">
        <w:t>, or the Agency</w:t>
      </w:r>
      <w:r w:rsidRPr="00480F2A">
        <w:t>.</w:t>
      </w:r>
    </w:p>
    <w:p w14:paraId="198F70A8" w14:textId="296B4E71" w:rsidR="008A255F" w:rsidRDefault="008A255F" w:rsidP="00296071">
      <w:pPr>
        <w:rPr>
          <w:color w:val="FF0000"/>
        </w:rPr>
      </w:pPr>
    </w:p>
    <w:p w14:paraId="4C8D5048" w14:textId="77777777" w:rsidR="00296071" w:rsidRPr="00296071" w:rsidRDefault="00296071" w:rsidP="00296071">
      <w:pPr>
        <w:spacing w:after="0"/>
        <w:rPr>
          <w:b/>
          <w:bCs/>
          <w:i/>
          <w:iCs/>
          <w:color w:val="00B050"/>
        </w:rPr>
      </w:pPr>
      <w:r w:rsidRPr="00296071">
        <w:rPr>
          <w:b/>
          <w:bCs/>
          <w:i/>
          <w:iCs/>
          <w:color w:val="00B050"/>
        </w:rPr>
        <w:t>NOTE: Self-explanatory.</w:t>
      </w:r>
    </w:p>
    <w:p w14:paraId="14AD045E" w14:textId="77777777" w:rsidR="00296071" w:rsidRPr="00296071" w:rsidRDefault="00296071" w:rsidP="00296071">
      <w:pPr>
        <w:rPr>
          <w:color w:val="FF0000"/>
        </w:rPr>
      </w:pPr>
    </w:p>
    <w:p w14:paraId="07BD225C" w14:textId="62FB5C44" w:rsidR="00EC1859" w:rsidRPr="00480F2A" w:rsidRDefault="00480F2A" w:rsidP="00480F2A">
      <w:pPr>
        <w:ind w:left="2880" w:firstLine="720"/>
      </w:pPr>
      <w:r>
        <w:t>Executed: January 19, 2022</w:t>
      </w:r>
    </w:p>
    <w:p w14:paraId="12A60FE9" w14:textId="0194A392" w:rsidR="00EC1859" w:rsidRPr="00480F2A" w:rsidRDefault="00EC1859" w:rsidP="00EC1859">
      <w:pPr>
        <w:spacing w:after="0"/>
      </w:pPr>
      <w:r w:rsidRPr="00480F2A">
        <w:t>FOR THE UNION</w:t>
      </w:r>
      <w:r w:rsidRPr="00480F2A">
        <w:tab/>
      </w:r>
      <w:r w:rsidRPr="00480F2A">
        <w:tab/>
      </w:r>
      <w:r w:rsidRPr="00480F2A">
        <w:tab/>
      </w:r>
      <w:r w:rsidRPr="00480F2A">
        <w:tab/>
      </w:r>
      <w:r w:rsidRPr="00480F2A">
        <w:tab/>
      </w:r>
      <w:r w:rsidRPr="00480F2A">
        <w:tab/>
        <w:t>FOR THE AGENCY</w:t>
      </w:r>
    </w:p>
    <w:p w14:paraId="0F5D8A75" w14:textId="129559B6" w:rsidR="008F47AB" w:rsidRPr="00480F2A" w:rsidRDefault="008F47AB" w:rsidP="00803BD3">
      <w:pPr>
        <w:spacing w:after="0"/>
      </w:pPr>
    </w:p>
    <w:p w14:paraId="069F5F3B" w14:textId="476EA474" w:rsidR="008F47AB" w:rsidRPr="00480F2A" w:rsidRDefault="008F47AB" w:rsidP="00803BD3">
      <w:pPr>
        <w:spacing w:after="0"/>
      </w:pPr>
    </w:p>
    <w:p w14:paraId="7AA7DEE3" w14:textId="151EA81F" w:rsidR="00422EF2" w:rsidRPr="00480F2A" w:rsidRDefault="00422EF2" w:rsidP="00803BD3">
      <w:pPr>
        <w:spacing w:after="0"/>
      </w:pPr>
    </w:p>
    <w:p w14:paraId="54247844" w14:textId="18F3EAF9" w:rsidR="00422EF2" w:rsidRPr="00480F2A" w:rsidRDefault="00422EF2" w:rsidP="00803BD3">
      <w:pPr>
        <w:spacing w:after="0"/>
      </w:pPr>
      <w:r w:rsidRPr="00480F2A">
        <w:lastRenderedPageBreak/>
        <w:softHyphen/>
      </w:r>
      <w:r w:rsidRPr="00480F2A">
        <w:softHyphen/>
      </w:r>
      <w:r w:rsidRPr="00480F2A">
        <w:softHyphen/>
        <w:t>______________________________</w:t>
      </w:r>
      <w:r w:rsidRPr="00480F2A">
        <w:tab/>
      </w:r>
      <w:r w:rsidRPr="00480F2A">
        <w:tab/>
      </w:r>
      <w:r w:rsidRPr="00480F2A">
        <w:tab/>
      </w:r>
      <w:r w:rsidRPr="00480F2A">
        <w:tab/>
        <w:t>______________________________</w:t>
      </w:r>
    </w:p>
    <w:p w14:paraId="608A0D93" w14:textId="46191641" w:rsidR="00422EF2" w:rsidRPr="00480F2A" w:rsidRDefault="00422EF2" w:rsidP="00803BD3">
      <w:pPr>
        <w:spacing w:after="0"/>
      </w:pPr>
      <w:r w:rsidRPr="00480F2A">
        <w:t>Richard F. Couture</w:t>
      </w:r>
      <w:r w:rsidRPr="00480F2A">
        <w:tab/>
      </w:r>
      <w:r w:rsidRPr="00480F2A">
        <w:tab/>
      </w:r>
      <w:r w:rsidRPr="00480F2A">
        <w:tab/>
      </w:r>
      <w:r w:rsidRPr="00480F2A">
        <w:tab/>
      </w:r>
      <w:r w:rsidRPr="00480F2A">
        <w:tab/>
      </w:r>
      <w:r w:rsidRPr="00480F2A">
        <w:tab/>
        <w:t>Laura Heigert</w:t>
      </w:r>
    </w:p>
    <w:p w14:paraId="185C32D9" w14:textId="21ACB122" w:rsidR="00422EF2" w:rsidRPr="00480F2A" w:rsidRDefault="00422EF2" w:rsidP="00803BD3">
      <w:pPr>
        <w:spacing w:after="0"/>
      </w:pPr>
      <w:r w:rsidRPr="00480F2A">
        <w:t>AFGE Council 215</w:t>
      </w:r>
      <w:r w:rsidRPr="00480F2A">
        <w:tab/>
      </w:r>
      <w:r w:rsidRPr="00480F2A">
        <w:tab/>
      </w:r>
      <w:r w:rsidRPr="00480F2A">
        <w:tab/>
      </w:r>
      <w:r w:rsidRPr="00480F2A">
        <w:tab/>
      </w:r>
      <w:r w:rsidRPr="00480F2A">
        <w:tab/>
      </w:r>
      <w:r w:rsidRPr="00480F2A">
        <w:tab/>
      </w:r>
      <w:r w:rsidR="002B39B2" w:rsidRPr="00480F2A">
        <w:t>Chief Negotiator</w:t>
      </w:r>
    </w:p>
    <w:p w14:paraId="7CA36AD2" w14:textId="1811366A" w:rsidR="00422EF2" w:rsidRPr="00480F2A" w:rsidRDefault="00422EF2" w:rsidP="00803BD3">
      <w:pPr>
        <w:spacing w:after="0"/>
      </w:pPr>
    </w:p>
    <w:p w14:paraId="67612C7D" w14:textId="15F4A927" w:rsidR="00422EF2" w:rsidRPr="00480F2A" w:rsidRDefault="00422EF2" w:rsidP="00803BD3">
      <w:pPr>
        <w:spacing w:after="0"/>
      </w:pPr>
    </w:p>
    <w:p w14:paraId="7DDC02A7" w14:textId="268DAE5C" w:rsidR="00422EF2" w:rsidRPr="00480F2A" w:rsidRDefault="00422EF2" w:rsidP="00422EF2">
      <w:pPr>
        <w:spacing w:after="0"/>
      </w:pPr>
      <w:r w:rsidRPr="00480F2A">
        <w:t>______________________________</w:t>
      </w:r>
      <w:r w:rsidRPr="00480F2A">
        <w:tab/>
      </w:r>
      <w:r w:rsidRPr="00480F2A">
        <w:tab/>
      </w:r>
      <w:r w:rsidRPr="00480F2A">
        <w:tab/>
      </w:r>
      <w:r w:rsidRPr="00480F2A">
        <w:tab/>
        <w:t>______________________________</w:t>
      </w:r>
    </w:p>
    <w:p w14:paraId="38A2C153" w14:textId="75663B58" w:rsidR="00740283" w:rsidRPr="00480F2A" w:rsidRDefault="004D2F75" w:rsidP="00422EF2">
      <w:pPr>
        <w:spacing w:after="0"/>
      </w:pPr>
      <w:r w:rsidRPr="00480F2A">
        <w:t>Angela Di</w:t>
      </w:r>
      <w:r w:rsidR="005C7DA8">
        <w:t>g</w:t>
      </w:r>
      <w:r w:rsidRPr="00480F2A">
        <w:t>eronimo</w:t>
      </w:r>
      <w:r w:rsidR="00422EF2" w:rsidRPr="00480F2A">
        <w:tab/>
      </w:r>
      <w:r w:rsidR="00422EF2" w:rsidRPr="00480F2A">
        <w:tab/>
      </w:r>
      <w:r w:rsidR="00422EF2" w:rsidRPr="00480F2A">
        <w:tab/>
      </w:r>
      <w:r w:rsidR="00422EF2" w:rsidRPr="00480F2A">
        <w:tab/>
      </w:r>
      <w:r w:rsidR="00422EF2" w:rsidRPr="00480F2A">
        <w:tab/>
      </w:r>
      <w:r w:rsidR="008F768B" w:rsidRPr="00480F2A">
        <w:tab/>
      </w:r>
      <w:r w:rsidR="00740283" w:rsidRPr="00480F2A">
        <w:t>Bryan Castillo</w:t>
      </w:r>
    </w:p>
    <w:p w14:paraId="48413A9F" w14:textId="626D50C6" w:rsidR="00D46D08" w:rsidRPr="00480F2A" w:rsidRDefault="00422EF2" w:rsidP="0009190D">
      <w:pPr>
        <w:spacing w:after="0"/>
      </w:pPr>
      <w:r w:rsidRPr="00480F2A">
        <w:t>AFGE Council 220</w:t>
      </w:r>
      <w:r w:rsidR="00740283" w:rsidRPr="00480F2A">
        <w:tab/>
      </w:r>
      <w:r w:rsidR="00740283" w:rsidRPr="00480F2A">
        <w:tab/>
      </w:r>
      <w:r w:rsidR="00740283" w:rsidRPr="00480F2A">
        <w:tab/>
      </w:r>
      <w:r w:rsidR="00740283" w:rsidRPr="00480F2A">
        <w:tab/>
      </w:r>
      <w:r w:rsidR="00740283" w:rsidRPr="00480F2A">
        <w:tab/>
      </w:r>
      <w:r w:rsidR="00740283" w:rsidRPr="00480F2A">
        <w:tab/>
      </w:r>
      <w:r w:rsidR="0009190D" w:rsidRPr="00480F2A">
        <w:t>OLMER</w:t>
      </w:r>
    </w:p>
    <w:p w14:paraId="1DAE7EE1" w14:textId="4B8D24FB" w:rsidR="00422EF2" w:rsidRPr="00480F2A" w:rsidRDefault="00422EF2" w:rsidP="00803BD3">
      <w:pPr>
        <w:spacing w:after="0"/>
      </w:pPr>
    </w:p>
    <w:p w14:paraId="7B2A6061" w14:textId="77777777" w:rsidR="00422EF2" w:rsidRPr="00480F2A" w:rsidRDefault="00422EF2" w:rsidP="00803BD3">
      <w:pPr>
        <w:spacing w:after="0"/>
      </w:pPr>
    </w:p>
    <w:p w14:paraId="242DF38A" w14:textId="77777777" w:rsidR="00422EF2" w:rsidRPr="00480F2A" w:rsidRDefault="00422EF2" w:rsidP="00422EF2">
      <w:pPr>
        <w:spacing w:after="0"/>
      </w:pPr>
      <w:r w:rsidRPr="00480F2A">
        <w:t>______________________________</w:t>
      </w:r>
      <w:r w:rsidRPr="00480F2A">
        <w:tab/>
      </w:r>
      <w:r w:rsidRPr="00480F2A">
        <w:tab/>
      </w:r>
      <w:r w:rsidRPr="00480F2A">
        <w:tab/>
      </w:r>
      <w:r w:rsidRPr="00480F2A">
        <w:tab/>
        <w:t>______________________________</w:t>
      </w:r>
    </w:p>
    <w:p w14:paraId="11E4CD67" w14:textId="624B1FEF" w:rsidR="00422EF2" w:rsidRPr="00480F2A" w:rsidRDefault="00422EF2" w:rsidP="00422EF2">
      <w:pPr>
        <w:spacing w:after="0"/>
      </w:pPr>
      <w:r w:rsidRPr="00480F2A">
        <w:t>Beverly Parks</w:t>
      </w:r>
      <w:r w:rsidRPr="00480F2A">
        <w:tab/>
      </w:r>
      <w:r w:rsidR="00406638" w:rsidRPr="00480F2A">
        <w:tab/>
      </w:r>
      <w:r w:rsidR="00406638" w:rsidRPr="00480F2A">
        <w:tab/>
      </w:r>
      <w:r w:rsidR="00406638" w:rsidRPr="00480F2A">
        <w:tab/>
      </w:r>
      <w:r w:rsidR="00406638" w:rsidRPr="00480F2A">
        <w:tab/>
      </w:r>
      <w:r w:rsidR="00406638" w:rsidRPr="00480F2A">
        <w:tab/>
      </w:r>
      <w:r w:rsidR="00406638" w:rsidRPr="00480F2A">
        <w:tab/>
      </w:r>
      <w:r w:rsidR="0009190D" w:rsidRPr="00480F2A">
        <w:t>Matthew Foley</w:t>
      </w:r>
      <w:r w:rsidRPr="00480F2A">
        <w:tab/>
      </w:r>
      <w:r w:rsidRPr="00480F2A">
        <w:tab/>
      </w:r>
      <w:r w:rsidRPr="00480F2A">
        <w:tab/>
      </w:r>
    </w:p>
    <w:p w14:paraId="11A89AD9" w14:textId="49D33C43" w:rsidR="00422EF2" w:rsidRPr="00480F2A" w:rsidRDefault="00422EF2" w:rsidP="00422EF2">
      <w:pPr>
        <w:spacing w:after="0"/>
      </w:pPr>
      <w:r w:rsidRPr="00480F2A">
        <w:t>AFGE Council 109</w:t>
      </w:r>
      <w:r w:rsidRPr="00480F2A">
        <w:tab/>
      </w:r>
      <w:r w:rsidRPr="00480F2A">
        <w:tab/>
      </w:r>
      <w:r w:rsidRPr="00480F2A">
        <w:tab/>
      </w:r>
      <w:r w:rsidRPr="00480F2A">
        <w:tab/>
      </w:r>
      <w:r w:rsidRPr="00480F2A">
        <w:tab/>
      </w:r>
      <w:r w:rsidRPr="00480F2A">
        <w:tab/>
      </w:r>
      <w:r w:rsidR="0009190D" w:rsidRPr="00480F2A">
        <w:t>BFM</w:t>
      </w:r>
    </w:p>
    <w:p w14:paraId="059AF176" w14:textId="5E3836E8" w:rsidR="00422EF2" w:rsidRPr="00480F2A" w:rsidRDefault="00422EF2" w:rsidP="00803BD3">
      <w:pPr>
        <w:spacing w:after="0"/>
      </w:pPr>
    </w:p>
    <w:p w14:paraId="2D9F4D95" w14:textId="556361D4" w:rsidR="00422EF2" w:rsidRPr="00480F2A" w:rsidRDefault="00422EF2" w:rsidP="00803BD3">
      <w:pPr>
        <w:spacing w:after="0"/>
      </w:pPr>
    </w:p>
    <w:p w14:paraId="5DE34F9F" w14:textId="77777777" w:rsidR="00422EF2" w:rsidRPr="00480F2A" w:rsidRDefault="00422EF2" w:rsidP="00422EF2">
      <w:pPr>
        <w:spacing w:after="0"/>
      </w:pPr>
      <w:r w:rsidRPr="00480F2A">
        <w:t>______________________________</w:t>
      </w:r>
      <w:r w:rsidRPr="00480F2A">
        <w:tab/>
      </w:r>
      <w:r w:rsidRPr="00480F2A">
        <w:tab/>
      </w:r>
      <w:r w:rsidRPr="00480F2A">
        <w:tab/>
      </w:r>
      <w:r w:rsidRPr="00480F2A">
        <w:tab/>
        <w:t>______________________________</w:t>
      </w:r>
    </w:p>
    <w:p w14:paraId="4E90DA1A" w14:textId="69FC6D72" w:rsidR="00422EF2" w:rsidRPr="00480F2A" w:rsidRDefault="00422EF2" w:rsidP="00422EF2">
      <w:pPr>
        <w:spacing w:after="0"/>
      </w:pPr>
      <w:r w:rsidRPr="00480F2A">
        <w:t>Shelley Washington</w:t>
      </w:r>
      <w:r w:rsidR="00406638" w:rsidRPr="00480F2A">
        <w:tab/>
      </w:r>
      <w:r w:rsidR="00406638" w:rsidRPr="00480F2A">
        <w:tab/>
      </w:r>
      <w:r w:rsidR="00406638" w:rsidRPr="00480F2A">
        <w:tab/>
      </w:r>
      <w:r w:rsidR="00406638" w:rsidRPr="00480F2A">
        <w:tab/>
      </w:r>
      <w:r w:rsidR="00406638" w:rsidRPr="00480F2A">
        <w:tab/>
      </w:r>
      <w:r w:rsidR="00406638" w:rsidRPr="00480F2A">
        <w:tab/>
      </w:r>
      <w:r w:rsidR="0009190D" w:rsidRPr="00480F2A">
        <w:t>Tonya Freeman</w:t>
      </w:r>
    </w:p>
    <w:p w14:paraId="6291E9E2" w14:textId="5E0E35E2" w:rsidR="00422EF2" w:rsidRPr="00480F2A" w:rsidRDefault="00422EF2" w:rsidP="00422EF2">
      <w:pPr>
        <w:spacing w:after="0"/>
      </w:pPr>
      <w:r w:rsidRPr="00480F2A">
        <w:t>AFGE Local 1923</w:t>
      </w:r>
      <w:r w:rsidRPr="00480F2A">
        <w:tab/>
      </w:r>
      <w:r w:rsidRPr="00480F2A">
        <w:tab/>
      </w:r>
      <w:r w:rsidRPr="00480F2A">
        <w:tab/>
      </w:r>
      <w:r w:rsidRPr="00480F2A">
        <w:tab/>
      </w:r>
      <w:r w:rsidRPr="00480F2A">
        <w:tab/>
      </w:r>
      <w:r w:rsidRPr="00480F2A">
        <w:tab/>
      </w:r>
      <w:r w:rsidR="0009190D" w:rsidRPr="00480F2A">
        <w:t xml:space="preserve">DCO </w:t>
      </w:r>
    </w:p>
    <w:p w14:paraId="67C6269F" w14:textId="37C4971A" w:rsidR="00422EF2" w:rsidRPr="00480F2A" w:rsidRDefault="00422EF2" w:rsidP="00422EF2">
      <w:pPr>
        <w:spacing w:after="0"/>
      </w:pPr>
    </w:p>
    <w:p w14:paraId="0BE58528" w14:textId="53701044" w:rsidR="00422EF2" w:rsidRPr="00480F2A" w:rsidRDefault="00422EF2" w:rsidP="00422EF2">
      <w:pPr>
        <w:spacing w:after="0"/>
      </w:pPr>
    </w:p>
    <w:p w14:paraId="5D565E10" w14:textId="77777777" w:rsidR="00422EF2" w:rsidRPr="00480F2A" w:rsidRDefault="00422EF2" w:rsidP="00422EF2">
      <w:pPr>
        <w:spacing w:after="0"/>
      </w:pPr>
    </w:p>
    <w:p w14:paraId="664CEDEB" w14:textId="77777777" w:rsidR="00422EF2" w:rsidRPr="00480F2A" w:rsidRDefault="00422EF2" w:rsidP="00422EF2">
      <w:pPr>
        <w:spacing w:after="0"/>
      </w:pPr>
      <w:r w:rsidRPr="00480F2A">
        <w:t>______________________________</w:t>
      </w:r>
      <w:r w:rsidRPr="00480F2A">
        <w:tab/>
      </w:r>
      <w:r w:rsidRPr="00480F2A">
        <w:tab/>
      </w:r>
      <w:r w:rsidRPr="00480F2A">
        <w:tab/>
      </w:r>
      <w:r w:rsidRPr="00480F2A">
        <w:tab/>
        <w:t>______________________________</w:t>
      </w:r>
    </w:p>
    <w:p w14:paraId="11F827FA" w14:textId="0EC96A1D" w:rsidR="00422EF2" w:rsidRPr="00480F2A" w:rsidRDefault="00422EF2" w:rsidP="00422EF2">
      <w:pPr>
        <w:spacing w:after="0"/>
      </w:pPr>
      <w:r w:rsidRPr="00480F2A">
        <w:t>Barri Sue Bryant</w:t>
      </w:r>
      <w:r w:rsidR="00406638" w:rsidRPr="00480F2A">
        <w:tab/>
      </w:r>
      <w:r w:rsidR="00406638" w:rsidRPr="00480F2A">
        <w:tab/>
      </w:r>
      <w:r w:rsidR="00406638" w:rsidRPr="00480F2A">
        <w:tab/>
      </w:r>
      <w:r w:rsidR="00406638" w:rsidRPr="00480F2A">
        <w:tab/>
      </w:r>
      <w:r w:rsidR="00406638" w:rsidRPr="00480F2A">
        <w:tab/>
      </w:r>
      <w:r w:rsidR="00406638" w:rsidRPr="00480F2A">
        <w:tab/>
      </w:r>
      <w:r w:rsidR="0009190D" w:rsidRPr="00480F2A">
        <w:t>Adam Gower</w:t>
      </w:r>
    </w:p>
    <w:p w14:paraId="32583BAF" w14:textId="2AAB1348" w:rsidR="00422EF2" w:rsidRPr="00480F2A" w:rsidRDefault="00422EF2" w:rsidP="00422EF2">
      <w:pPr>
        <w:spacing w:after="0"/>
      </w:pPr>
      <w:r w:rsidRPr="00480F2A">
        <w:t>AFGE Local 2809</w:t>
      </w:r>
      <w:r w:rsidR="0009190D" w:rsidRPr="00480F2A">
        <w:tab/>
      </w:r>
      <w:r w:rsidR="0009190D" w:rsidRPr="00480F2A">
        <w:tab/>
      </w:r>
      <w:r w:rsidR="0009190D" w:rsidRPr="00480F2A">
        <w:tab/>
      </w:r>
      <w:r w:rsidR="0009190D" w:rsidRPr="00480F2A">
        <w:tab/>
      </w:r>
      <w:r w:rsidR="0009190D" w:rsidRPr="00480F2A">
        <w:tab/>
      </w:r>
      <w:r w:rsidR="0009190D" w:rsidRPr="00480F2A">
        <w:tab/>
        <w:t>OPE</w:t>
      </w:r>
    </w:p>
    <w:p w14:paraId="7371DFA3" w14:textId="77777777" w:rsidR="00422EF2" w:rsidRPr="00480F2A" w:rsidRDefault="00422EF2" w:rsidP="00422EF2">
      <w:pPr>
        <w:spacing w:after="0"/>
      </w:pPr>
    </w:p>
    <w:p w14:paraId="1A032C3F" w14:textId="0B58E8BA" w:rsidR="00422EF2" w:rsidRPr="00480F2A" w:rsidRDefault="00422EF2" w:rsidP="00422EF2">
      <w:pPr>
        <w:spacing w:after="0"/>
      </w:pPr>
    </w:p>
    <w:p w14:paraId="308597B9" w14:textId="77777777" w:rsidR="00422EF2" w:rsidRPr="00480F2A" w:rsidRDefault="00422EF2" w:rsidP="00422EF2">
      <w:pPr>
        <w:spacing w:after="0"/>
      </w:pPr>
    </w:p>
    <w:p w14:paraId="06C52443" w14:textId="77777777" w:rsidR="00422EF2" w:rsidRPr="00480F2A" w:rsidRDefault="00422EF2" w:rsidP="00422EF2">
      <w:pPr>
        <w:spacing w:after="0"/>
      </w:pPr>
      <w:r w:rsidRPr="00480F2A">
        <w:t>______________________________</w:t>
      </w:r>
      <w:r w:rsidRPr="00480F2A">
        <w:tab/>
      </w:r>
      <w:r w:rsidRPr="00480F2A">
        <w:tab/>
      </w:r>
      <w:r w:rsidRPr="00480F2A">
        <w:tab/>
      </w:r>
      <w:r w:rsidRPr="00480F2A">
        <w:tab/>
        <w:t>______________________________</w:t>
      </w:r>
    </w:p>
    <w:p w14:paraId="606747DA" w14:textId="654E7A2B" w:rsidR="00422EF2" w:rsidRPr="00480F2A" w:rsidRDefault="004D2F75" w:rsidP="00422EF2">
      <w:pPr>
        <w:spacing w:after="0"/>
      </w:pPr>
      <w:r w:rsidRPr="00480F2A">
        <w:t xml:space="preserve">Shaun </w:t>
      </w:r>
      <w:r w:rsidR="00391AE8" w:rsidRPr="00480F2A">
        <w:t>O’Connell</w:t>
      </w:r>
      <w:r w:rsidR="00406638" w:rsidRPr="00480F2A">
        <w:tab/>
      </w:r>
      <w:r w:rsidR="00406638" w:rsidRPr="00480F2A">
        <w:tab/>
      </w:r>
      <w:r w:rsidR="00406638" w:rsidRPr="00480F2A">
        <w:tab/>
      </w:r>
      <w:r w:rsidR="00406638" w:rsidRPr="00480F2A">
        <w:tab/>
      </w:r>
      <w:r w:rsidR="00406638" w:rsidRPr="00480F2A">
        <w:tab/>
      </w:r>
      <w:r w:rsidR="00406638" w:rsidRPr="00480F2A">
        <w:tab/>
        <w:t>J</w:t>
      </w:r>
      <w:r w:rsidR="0009190D" w:rsidRPr="00480F2A">
        <w:t>ames Julian</w:t>
      </w:r>
    </w:p>
    <w:p w14:paraId="0C302136" w14:textId="5F09ED2C" w:rsidR="00422EF2" w:rsidRPr="00480F2A" w:rsidRDefault="00422EF2" w:rsidP="00422EF2">
      <w:pPr>
        <w:spacing w:after="0"/>
      </w:pPr>
      <w:r w:rsidRPr="00480F2A">
        <w:t>AFGE Council 224</w:t>
      </w:r>
      <w:r w:rsidRPr="00480F2A">
        <w:tab/>
      </w:r>
      <w:r w:rsidRPr="00480F2A">
        <w:tab/>
      </w:r>
      <w:r w:rsidRPr="00480F2A">
        <w:tab/>
      </w:r>
      <w:r w:rsidRPr="00480F2A">
        <w:tab/>
      </w:r>
      <w:r w:rsidRPr="00480F2A">
        <w:tab/>
      </w:r>
      <w:r w:rsidRPr="00480F2A">
        <w:tab/>
      </w:r>
      <w:r w:rsidR="0009190D" w:rsidRPr="00480F2A">
        <w:t>OHO</w:t>
      </w:r>
    </w:p>
    <w:p w14:paraId="4E75DA6A" w14:textId="1A48EE80" w:rsidR="00422EF2" w:rsidRPr="00480F2A" w:rsidRDefault="00422EF2" w:rsidP="00422EF2">
      <w:pPr>
        <w:spacing w:after="0"/>
      </w:pPr>
    </w:p>
    <w:p w14:paraId="7AF25DBE" w14:textId="2132FE5D" w:rsidR="00422EF2" w:rsidRPr="00480F2A" w:rsidRDefault="00422EF2" w:rsidP="00422EF2">
      <w:pPr>
        <w:spacing w:after="0"/>
      </w:pPr>
    </w:p>
    <w:p w14:paraId="4AA942F7" w14:textId="77777777" w:rsidR="00422EF2" w:rsidRPr="00480F2A" w:rsidRDefault="00422EF2" w:rsidP="00422EF2">
      <w:pPr>
        <w:spacing w:after="0"/>
      </w:pPr>
      <w:r w:rsidRPr="00480F2A">
        <w:t>______________________________</w:t>
      </w:r>
      <w:r w:rsidRPr="00480F2A">
        <w:tab/>
      </w:r>
      <w:r w:rsidRPr="00480F2A">
        <w:tab/>
      </w:r>
      <w:r w:rsidRPr="00480F2A">
        <w:tab/>
      </w:r>
      <w:r w:rsidRPr="00480F2A">
        <w:tab/>
        <w:t>______________________________</w:t>
      </w:r>
    </w:p>
    <w:p w14:paraId="38532F31" w14:textId="683DA7B9" w:rsidR="00422EF2" w:rsidRPr="00480F2A" w:rsidRDefault="004D2F75" w:rsidP="00422EF2">
      <w:pPr>
        <w:spacing w:after="0"/>
      </w:pPr>
      <w:r w:rsidRPr="00480F2A">
        <w:t>Greg Senden</w:t>
      </w:r>
      <w:r w:rsidRPr="00480F2A">
        <w:tab/>
      </w:r>
      <w:r w:rsidR="0009190D" w:rsidRPr="00480F2A">
        <w:tab/>
      </w:r>
      <w:r w:rsidR="0009190D" w:rsidRPr="00480F2A">
        <w:tab/>
      </w:r>
      <w:r w:rsidR="0009190D" w:rsidRPr="00480F2A">
        <w:tab/>
      </w:r>
      <w:r w:rsidR="0009190D" w:rsidRPr="00480F2A">
        <w:tab/>
      </w:r>
      <w:r w:rsidR="0009190D" w:rsidRPr="00480F2A">
        <w:tab/>
      </w:r>
      <w:r w:rsidR="0009190D" w:rsidRPr="00480F2A">
        <w:tab/>
      </w:r>
      <w:r w:rsidR="00985824" w:rsidRPr="00480F2A">
        <w:t>LeeAnn Stuever</w:t>
      </w:r>
    </w:p>
    <w:p w14:paraId="6827E75A" w14:textId="3DD69604" w:rsidR="00422EF2" w:rsidRPr="00480F2A" w:rsidRDefault="00391AE8" w:rsidP="00803BD3">
      <w:pPr>
        <w:spacing w:after="0"/>
      </w:pPr>
      <w:r w:rsidRPr="00480F2A">
        <w:t xml:space="preserve">GC </w:t>
      </w:r>
      <w:r w:rsidR="00422EF2" w:rsidRPr="00480F2A">
        <w:t>Notetaker</w:t>
      </w:r>
      <w:r w:rsidRPr="00480F2A">
        <w:t>/C215</w:t>
      </w:r>
      <w:r w:rsidR="0009190D" w:rsidRPr="00480F2A">
        <w:tab/>
      </w:r>
      <w:r w:rsidR="0009190D" w:rsidRPr="00480F2A">
        <w:tab/>
      </w:r>
      <w:r w:rsidR="0009190D" w:rsidRPr="00480F2A">
        <w:tab/>
      </w:r>
      <w:r w:rsidR="0009190D" w:rsidRPr="00480F2A">
        <w:tab/>
      </w:r>
      <w:r w:rsidR="0009190D" w:rsidRPr="00480F2A">
        <w:tab/>
      </w:r>
      <w:r w:rsidR="0009190D" w:rsidRPr="00480F2A">
        <w:tab/>
        <w:t>DC</w:t>
      </w:r>
      <w:r w:rsidR="00480F2A">
        <w:t>O</w:t>
      </w:r>
      <w:r w:rsidR="00422EF2" w:rsidRPr="00480F2A">
        <w:tab/>
      </w:r>
    </w:p>
    <w:sectPr w:rsidR="00422EF2" w:rsidRPr="00480F2A">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57F61B" w14:textId="77777777" w:rsidR="00E8340A" w:rsidRDefault="00E8340A" w:rsidP="00422EF2">
      <w:pPr>
        <w:spacing w:after="0" w:line="240" w:lineRule="auto"/>
      </w:pPr>
      <w:r>
        <w:separator/>
      </w:r>
    </w:p>
  </w:endnote>
  <w:endnote w:type="continuationSeparator" w:id="0">
    <w:p w14:paraId="4DA56626" w14:textId="77777777" w:rsidR="00E8340A" w:rsidRDefault="00E8340A" w:rsidP="00422E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63362930"/>
      <w:docPartObj>
        <w:docPartGallery w:val="Page Numbers (Bottom of Page)"/>
        <w:docPartUnique/>
      </w:docPartObj>
    </w:sdtPr>
    <w:sdtEndPr>
      <w:rPr>
        <w:noProof/>
      </w:rPr>
    </w:sdtEndPr>
    <w:sdtContent>
      <w:p w14:paraId="313045B1" w14:textId="0CF309B4" w:rsidR="00EB3A1F" w:rsidRDefault="00EB3A1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8A2FE41" w14:textId="77777777" w:rsidR="00EB3A1F" w:rsidRDefault="00EB3A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51153D" w14:textId="77777777" w:rsidR="00E8340A" w:rsidRDefault="00E8340A" w:rsidP="00422EF2">
      <w:pPr>
        <w:spacing w:after="0" w:line="240" w:lineRule="auto"/>
      </w:pPr>
      <w:r>
        <w:separator/>
      </w:r>
    </w:p>
  </w:footnote>
  <w:footnote w:type="continuationSeparator" w:id="0">
    <w:p w14:paraId="4F736803" w14:textId="77777777" w:rsidR="00E8340A" w:rsidRDefault="00E8340A" w:rsidP="00422E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D82F1D"/>
    <w:multiLevelType w:val="hybridMultilevel"/>
    <w:tmpl w:val="81262BA2"/>
    <w:lvl w:ilvl="0" w:tplc="75D4CD96">
      <w:start w:val="2"/>
      <w:numFmt w:val="decimal"/>
      <w:lvlText w:val="%1."/>
      <w:lvlJc w:val="left"/>
      <w:pPr>
        <w:ind w:left="360" w:hanging="360"/>
      </w:pPr>
      <w:rPr>
        <w:strike w:val="0"/>
        <w:dstrike w:val="0"/>
        <w:color w:val="auto"/>
        <w:u w:val="none"/>
        <w:effect w:val="none"/>
      </w:rPr>
    </w:lvl>
    <w:lvl w:ilvl="1" w:tplc="04090015">
      <w:start w:val="1"/>
      <w:numFmt w:val="upp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 w15:restartNumberingAfterBreak="0">
    <w:nsid w:val="572864A8"/>
    <w:multiLevelType w:val="hybridMultilevel"/>
    <w:tmpl w:val="8F900FAE"/>
    <w:lvl w:ilvl="0" w:tplc="C5F2516A">
      <w:start w:val="4"/>
      <w:numFmt w:val="decimal"/>
      <w:lvlText w:val="%1."/>
      <w:lvlJc w:val="left"/>
      <w:pPr>
        <w:ind w:left="360" w:hanging="360"/>
      </w:pPr>
      <w:rPr>
        <w:rFonts w:hint="default"/>
        <w:b/>
        <w:bCs/>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7B303AE"/>
    <w:multiLevelType w:val="hybridMultilevel"/>
    <w:tmpl w:val="29D40F98"/>
    <w:lvl w:ilvl="0" w:tplc="B1549856">
      <w:start w:val="12"/>
      <w:numFmt w:val="decimal"/>
      <w:lvlText w:val="%1."/>
      <w:lvlJc w:val="left"/>
      <w:pPr>
        <w:ind w:left="360" w:hanging="360"/>
      </w:pPr>
      <w:rPr>
        <w:rFonts w:hint="default"/>
        <w:b/>
        <w:bCs/>
        <w:strike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74A31F4"/>
    <w:multiLevelType w:val="hybridMultilevel"/>
    <w:tmpl w:val="EE70D8E2"/>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BC5777B"/>
    <w:multiLevelType w:val="hybridMultilevel"/>
    <w:tmpl w:val="84AADDE2"/>
    <w:lvl w:ilvl="0" w:tplc="AAD2CDFC">
      <w:start w:val="1"/>
      <w:numFmt w:val="decimal"/>
      <w:lvlText w:val="%1."/>
      <w:lvlJc w:val="left"/>
      <w:pPr>
        <w:ind w:left="360" w:hanging="360"/>
      </w:pPr>
      <w:rPr>
        <w:rFonts w:hint="default"/>
        <w:strike w:val="0"/>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4"/>
  </w:num>
  <w:num w:numId="3">
    <w:abstractNumId w:val="1"/>
  </w:num>
  <w:num w:numId="4">
    <w:abstractNumId w:val="2"/>
  </w:num>
  <w:num w:numId="5">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lvlOverride w:ilvl="2"/>
    <w:lvlOverride w:ilvl="3"/>
    <w:lvlOverride w:ilvl="4"/>
    <w:lvlOverride w:ilvl="5"/>
    <w:lvlOverride w:ilvl="6"/>
    <w:lvlOverride w:ilvl="7"/>
    <w:lvlOverride w:ilvl="8"/>
  </w:num>
  <w:num w:numId="7">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764"/>
    <w:rsid w:val="00000CA6"/>
    <w:rsid w:val="0000173A"/>
    <w:rsid w:val="00017BB2"/>
    <w:rsid w:val="0002060D"/>
    <w:rsid w:val="00040126"/>
    <w:rsid w:val="00055BFE"/>
    <w:rsid w:val="000851C8"/>
    <w:rsid w:val="00090684"/>
    <w:rsid w:val="0009092B"/>
    <w:rsid w:val="0009190D"/>
    <w:rsid w:val="00097613"/>
    <w:rsid w:val="000A29C6"/>
    <w:rsid w:val="000A4109"/>
    <w:rsid w:val="000A4A81"/>
    <w:rsid w:val="000E3CD1"/>
    <w:rsid w:val="000E4415"/>
    <w:rsid w:val="000F14C1"/>
    <w:rsid w:val="001008A4"/>
    <w:rsid w:val="00100BC1"/>
    <w:rsid w:val="00132D4A"/>
    <w:rsid w:val="00136563"/>
    <w:rsid w:val="00141574"/>
    <w:rsid w:val="001518F1"/>
    <w:rsid w:val="00165D71"/>
    <w:rsid w:val="00172D68"/>
    <w:rsid w:val="0017686C"/>
    <w:rsid w:val="0018193D"/>
    <w:rsid w:val="00197BA1"/>
    <w:rsid w:val="001A6C78"/>
    <w:rsid w:val="001A7C32"/>
    <w:rsid w:val="001B2A42"/>
    <w:rsid w:val="001C106A"/>
    <w:rsid w:val="001D5099"/>
    <w:rsid w:val="001F2FD9"/>
    <w:rsid w:val="002009A9"/>
    <w:rsid w:val="002047C8"/>
    <w:rsid w:val="0020664D"/>
    <w:rsid w:val="0020692E"/>
    <w:rsid w:val="00215A53"/>
    <w:rsid w:val="00222936"/>
    <w:rsid w:val="00223202"/>
    <w:rsid w:val="00227565"/>
    <w:rsid w:val="00227AC4"/>
    <w:rsid w:val="00231CF1"/>
    <w:rsid w:val="00233204"/>
    <w:rsid w:val="00234536"/>
    <w:rsid w:val="002524F2"/>
    <w:rsid w:val="00253F7C"/>
    <w:rsid w:val="00255361"/>
    <w:rsid w:val="002604B5"/>
    <w:rsid w:val="00262743"/>
    <w:rsid w:val="0028064F"/>
    <w:rsid w:val="0028741A"/>
    <w:rsid w:val="00296071"/>
    <w:rsid w:val="002A0DBF"/>
    <w:rsid w:val="002B39B2"/>
    <w:rsid w:val="002D3A32"/>
    <w:rsid w:val="002E3644"/>
    <w:rsid w:val="002E69DF"/>
    <w:rsid w:val="002F497D"/>
    <w:rsid w:val="00300EB5"/>
    <w:rsid w:val="00306438"/>
    <w:rsid w:val="00311BFD"/>
    <w:rsid w:val="00316277"/>
    <w:rsid w:val="00332469"/>
    <w:rsid w:val="003504F9"/>
    <w:rsid w:val="0035336F"/>
    <w:rsid w:val="003534B0"/>
    <w:rsid w:val="00364E6F"/>
    <w:rsid w:val="003867D7"/>
    <w:rsid w:val="00391AE8"/>
    <w:rsid w:val="003A3026"/>
    <w:rsid w:val="003A3AF9"/>
    <w:rsid w:val="003B3DD5"/>
    <w:rsid w:val="003C075D"/>
    <w:rsid w:val="003D4AC9"/>
    <w:rsid w:val="003E3227"/>
    <w:rsid w:val="003E65A2"/>
    <w:rsid w:val="003E6C3E"/>
    <w:rsid w:val="003F7E0C"/>
    <w:rsid w:val="00406638"/>
    <w:rsid w:val="004110AF"/>
    <w:rsid w:val="00422EF2"/>
    <w:rsid w:val="004253BC"/>
    <w:rsid w:val="00432CB7"/>
    <w:rsid w:val="00435814"/>
    <w:rsid w:val="00442A74"/>
    <w:rsid w:val="0046618D"/>
    <w:rsid w:val="004716D4"/>
    <w:rsid w:val="00471BA9"/>
    <w:rsid w:val="004745D2"/>
    <w:rsid w:val="00480F2A"/>
    <w:rsid w:val="00480FF3"/>
    <w:rsid w:val="004819E2"/>
    <w:rsid w:val="004846A5"/>
    <w:rsid w:val="004B49B8"/>
    <w:rsid w:val="004C0040"/>
    <w:rsid w:val="004D2F75"/>
    <w:rsid w:val="004E017B"/>
    <w:rsid w:val="004E1195"/>
    <w:rsid w:val="004F208D"/>
    <w:rsid w:val="0050279A"/>
    <w:rsid w:val="005178DB"/>
    <w:rsid w:val="00517F11"/>
    <w:rsid w:val="00526AB9"/>
    <w:rsid w:val="0053310C"/>
    <w:rsid w:val="00533E0D"/>
    <w:rsid w:val="00556C14"/>
    <w:rsid w:val="0057391E"/>
    <w:rsid w:val="00574A25"/>
    <w:rsid w:val="00576917"/>
    <w:rsid w:val="005777A1"/>
    <w:rsid w:val="0059233F"/>
    <w:rsid w:val="005A4CF9"/>
    <w:rsid w:val="005B53CE"/>
    <w:rsid w:val="005C2B35"/>
    <w:rsid w:val="005C7DA8"/>
    <w:rsid w:val="005E0505"/>
    <w:rsid w:val="005E07A0"/>
    <w:rsid w:val="005E2718"/>
    <w:rsid w:val="00601255"/>
    <w:rsid w:val="00613EAA"/>
    <w:rsid w:val="0061436B"/>
    <w:rsid w:val="00614574"/>
    <w:rsid w:val="00620B45"/>
    <w:rsid w:val="00623276"/>
    <w:rsid w:val="00651D4F"/>
    <w:rsid w:val="00674F33"/>
    <w:rsid w:val="006A0EF5"/>
    <w:rsid w:val="006B1540"/>
    <w:rsid w:val="006C4DF4"/>
    <w:rsid w:val="006C7254"/>
    <w:rsid w:val="006E1ED0"/>
    <w:rsid w:val="006F3AEE"/>
    <w:rsid w:val="006F51AB"/>
    <w:rsid w:val="006F5B4C"/>
    <w:rsid w:val="006F628F"/>
    <w:rsid w:val="00706F9A"/>
    <w:rsid w:val="00723805"/>
    <w:rsid w:val="00732E0A"/>
    <w:rsid w:val="00740283"/>
    <w:rsid w:val="00742AEC"/>
    <w:rsid w:val="00756C1B"/>
    <w:rsid w:val="00756EB8"/>
    <w:rsid w:val="00763816"/>
    <w:rsid w:val="0078000C"/>
    <w:rsid w:val="00780727"/>
    <w:rsid w:val="007840F7"/>
    <w:rsid w:val="00790AB0"/>
    <w:rsid w:val="00796D40"/>
    <w:rsid w:val="007B018D"/>
    <w:rsid w:val="007B0FB1"/>
    <w:rsid w:val="007D599D"/>
    <w:rsid w:val="007D7F02"/>
    <w:rsid w:val="007E277A"/>
    <w:rsid w:val="007F28EE"/>
    <w:rsid w:val="00803BD3"/>
    <w:rsid w:val="008135DF"/>
    <w:rsid w:val="00823C53"/>
    <w:rsid w:val="00826AF3"/>
    <w:rsid w:val="00831509"/>
    <w:rsid w:val="00833C1B"/>
    <w:rsid w:val="00834924"/>
    <w:rsid w:val="008405D2"/>
    <w:rsid w:val="0084205A"/>
    <w:rsid w:val="008525C7"/>
    <w:rsid w:val="00852ACC"/>
    <w:rsid w:val="00861F30"/>
    <w:rsid w:val="00864D79"/>
    <w:rsid w:val="00867EB6"/>
    <w:rsid w:val="0087526A"/>
    <w:rsid w:val="008913C2"/>
    <w:rsid w:val="008A255F"/>
    <w:rsid w:val="008B4CCC"/>
    <w:rsid w:val="008B6FBA"/>
    <w:rsid w:val="008F47AB"/>
    <w:rsid w:val="008F768B"/>
    <w:rsid w:val="00913262"/>
    <w:rsid w:val="00922764"/>
    <w:rsid w:val="00936E9C"/>
    <w:rsid w:val="00943F4D"/>
    <w:rsid w:val="009514F9"/>
    <w:rsid w:val="0095444A"/>
    <w:rsid w:val="009654E9"/>
    <w:rsid w:val="00967D56"/>
    <w:rsid w:val="00974D69"/>
    <w:rsid w:val="00980156"/>
    <w:rsid w:val="00985824"/>
    <w:rsid w:val="00994E5D"/>
    <w:rsid w:val="00996185"/>
    <w:rsid w:val="009A2E86"/>
    <w:rsid w:val="009B10B4"/>
    <w:rsid w:val="009C23A7"/>
    <w:rsid w:val="009C2931"/>
    <w:rsid w:val="009C5A12"/>
    <w:rsid w:val="00A0060E"/>
    <w:rsid w:val="00A2111A"/>
    <w:rsid w:val="00A2587D"/>
    <w:rsid w:val="00A30A38"/>
    <w:rsid w:val="00A321E2"/>
    <w:rsid w:val="00A42462"/>
    <w:rsid w:val="00A51923"/>
    <w:rsid w:val="00A52A93"/>
    <w:rsid w:val="00A5500C"/>
    <w:rsid w:val="00A57DD1"/>
    <w:rsid w:val="00A87843"/>
    <w:rsid w:val="00A87C6B"/>
    <w:rsid w:val="00A95E46"/>
    <w:rsid w:val="00AA29F1"/>
    <w:rsid w:val="00AA7162"/>
    <w:rsid w:val="00AB0C46"/>
    <w:rsid w:val="00AB309C"/>
    <w:rsid w:val="00AC0239"/>
    <w:rsid w:val="00AD08E2"/>
    <w:rsid w:val="00AD0EE5"/>
    <w:rsid w:val="00AE4E37"/>
    <w:rsid w:val="00AF5ED6"/>
    <w:rsid w:val="00AF76D0"/>
    <w:rsid w:val="00B21BE0"/>
    <w:rsid w:val="00B24A4D"/>
    <w:rsid w:val="00B404E2"/>
    <w:rsid w:val="00B55233"/>
    <w:rsid w:val="00B62821"/>
    <w:rsid w:val="00B6495C"/>
    <w:rsid w:val="00B9111D"/>
    <w:rsid w:val="00B92B44"/>
    <w:rsid w:val="00BA798E"/>
    <w:rsid w:val="00BA7F39"/>
    <w:rsid w:val="00BB2B2A"/>
    <w:rsid w:val="00BB4FFE"/>
    <w:rsid w:val="00BE02A6"/>
    <w:rsid w:val="00BE0DEB"/>
    <w:rsid w:val="00BE1F9A"/>
    <w:rsid w:val="00BF5D65"/>
    <w:rsid w:val="00C07459"/>
    <w:rsid w:val="00C10966"/>
    <w:rsid w:val="00C17A09"/>
    <w:rsid w:val="00C324C9"/>
    <w:rsid w:val="00C41D9B"/>
    <w:rsid w:val="00C429D7"/>
    <w:rsid w:val="00C5161C"/>
    <w:rsid w:val="00C53B3B"/>
    <w:rsid w:val="00C54F77"/>
    <w:rsid w:val="00C836A9"/>
    <w:rsid w:val="00CB44B1"/>
    <w:rsid w:val="00CB52B8"/>
    <w:rsid w:val="00CC1C2C"/>
    <w:rsid w:val="00CC1C5E"/>
    <w:rsid w:val="00CC4674"/>
    <w:rsid w:val="00CC48C8"/>
    <w:rsid w:val="00CD7A8A"/>
    <w:rsid w:val="00CE0083"/>
    <w:rsid w:val="00CE42D0"/>
    <w:rsid w:val="00CE55D1"/>
    <w:rsid w:val="00D1799F"/>
    <w:rsid w:val="00D23D1D"/>
    <w:rsid w:val="00D31818"/>
    <w:rsid w:val="00D361EF"/>
    <w:rsid w:val="00D40048"/>
    <w:rsid w:val="00D46D08"/>
    <w:rsid w:val="00D53F16"/>
    <w:rsid w:val="00D620DE"/>
    <w:rsid w:val="00D71E14"/>
    <w:rsid w:val="00D755D3"/>
    <w:rsid w:val="00D97D42"/>
    <w:rsid w:val="00DA0883"/>
    <w:rsid w:val="00DA155B"/>
    <w:rsid w:val="00DB29E0"/>
    <w:rsid w:val="00DF475F"/>
    <w:rsid w:val="00DF7DB4"/>
    <w:rsid w:val="00E039EF"/>
    <w:rsid w:val="00E1351C"/>
    <w:rsid w:val="00E165C2"/>
    <w:rsid w:val="00E206E1"/>
    <w:rsid w:val="00E250E7"/>
    <w:rsid w:val="00E35945"/>
    <w:rsid w:val="00E41A04"/>
    <w:rsid w:val="00E47D73"/>
    <w:rsid w:val="00E52896"/>
    <w:rsid w:val="00E54728"/>
    <w:rsid w:val="00E81D2D"/>
    <w:rsid w:val="00E8340A"/>
    <w:rsid w:val="00EA20CA"/>
    <w:rsid w:val="00EA341C"/>
    <w:rsid w:val="00EB0E36"/>
    <w:rsid w:val="00EB3A1F"/>
    <w:rsid w:val="00EB4D20"/>
    <w:rsid w:val="00EB585E"/>
    <w:rsid w:val="00EC1859"/>
    <w:rsid w:val="00EE264B"/>
    <w:rsid w:val="00EF2F7C"/>
    <w:rsid w:val="00F05EDC"/>
    <w:rsid w:val="00F31E89"/>
    <w:rsid w:val="00F66036"/>
    <w:rsid w:val="00F774E7"/>
    <w:rsid w:val="00F84BEE"/>
    <w:rsid w:val="00F84F2A"/>
    <w:rsid w:val="00FA2641"/>
    <w:rsid w:val="00FA61E4"/>
    <w:rsid w:val="00FE3EBB"/>
    <w:rsid w:val="00FF33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E56DF"/>
  <w15:chartTrackingRefBased/>
  <w15:docId w15:val="{EFC8ED53-6354-46E1-95E0-A1C51F54B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686C"/>
    <w:pPr>
      <w:ind w:left="720"/>
      <w:contextualSpacing/>
    </w:pPr>
  </w:style>
  <w:style w:type="paragraph" w:styleId="Header">
    <w:name w:val="header"/>
    <w:basedOn w:val="Normal"/>
    <w:link w:val="HeaderChar"/>
    <w:uiPriority w:val="99"/>
    <w:unhideWhenUsed/>
    <w:rsid w:val="00422E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2EF2"/>
  </w:style>
  <w:style w:type="paragraph" w:styleId="Footer">
    <w:name w:val="footer"/>
    <w:basedOn w:val="Normal"/>
    <w:link w:val="FooterChar"/>
    <w:uiPriority w:val="99"/>
    <w:unhideWhenUsed/>
    <w:rsid w:val="00422E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2EF2"/>
  </w:style>
  <w:style w:type="character" w:styleId="CommentReference">
    <w:name w:val="annotation reference"/>
    <w:basedOn w:val="DefaultParagraphFont"/>
    <w:uiPriority w:val="99"/>
    <w:semiHidden/>
    <w:unhideWhenUsed/>
    <w:rsid w:val="00FA2641"/>
    <w:rPr>
      <w:sz w:val="16"/>
      <w:szCs w:val="16"/>
    </w:rPr>
  </w:style>
  <w:style w:type="paragraph" w:styleId="CommentText">
    <w:name w:val="annotation text"/>
    <w:basedOn w:val="Normal"/>
    <w:link w:val="CommentTextChar"/>
    <w:uiPriority w:val="99"/>
    <w:semiHidden/>
    <w:unhideWhenUsed/>
    <w:rsid w:val="00FA2641"/>
    <w:pPr>
      <w:spacing w:line="240" w:lineRule="auto"/>
    </w:pPr>
    <w:rPr>
      <w:sz w:val="20"/>
      <w:szCs w:val="20"/>
    </w:rPr>
  </w:style>
  <w:style w:type="character" w:customStyle="1" w:styleId="CommentTextChar">
    <w:name w:val="Comment Text Char"/>
    <w:basedOn w:val="DefaultParagraphFont"/>
    <w:link w:val="CommentText"/>
    <w:uiPriority w:val="99"/>
    <w:semiHidden/>
    <w:rsid w:val="00FA2641"/>
    <w:rPr>
      <w:sz w:val="20"/>
      <w:szCs w:val="20"/>
    </w:rPr>
  </w:style>
  <w:style w:type="paragraph" w:styleId="CommentSubject">
    <w:name w:val="annotation subject"/>
    <w:basedOn w:val="CommentText"/>
    <w:next w:val="CommentText"/>
    <w:link w:val="CommentSubjectChar"/>
    <w:uiPriority w:val="99"/>
    <w:semiHidden/>
    <w:unhideWhenUsed/>
    <w:rsid w:val="00FA2641"/>
    <w:rPr>
      <w:b/>
      <w:bCs/>
    </w:rPr>
  </w:style>
  <w:style w:type="character" w:customStyle="1" w:styleId="CommentSubjectChar">
    <w:name w:val="Comment Subject Char"/>
    <w:basedOn w:val="CommentTextChar"/>
    <w:link w:val="CommentSubject"/>
    <w:uiPriority w:val="99"/>
    <w:semiHidden/>
    <w:rsid w:val="00FA264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3633976">
      <w:bodyDiv w:val="1"/>
      <w:marLeft w:val="0"/>
      <w:marRight w:val="0"/>
      <w:marTop w:val="0"/>
      <w:marBottom w:val="0"/>
      <w:divBdr>
        <w:top w:val="none" w:sz="0" w:space="0" w:color="auto"/>
        <w:left w:val="none" w:sz="0" w:space="0" w:color="auto"/>
        <w:bottom w:val="none" w:sz="0" w:space="0" w:color="auto"/>
        <w:right w:val="none" w:sz="0" w:space="0" w:color="auto"/>
      </w:divBdr>
    </w:div>
    <w:div w:id="619074760">
      <w:bodyDiv w:val="1"/>
      <w:marLeft w:val="0"/>
      <w:marRight w:val="0"/>
      <w:marTop w:val="0"/>
      <w:marBottom w:val="0"/>
      <w:divBdr>
        <w:top w:val="none" w:sz="0" w:space="0" w:color="auto"/>
        <w:left w:val="none" w:sz="0" w:space="0" w:color="auto"/>
        <w:bottom w:val="none" w:sz="0" w:space="0" w:color="auto"/>
        <w:right w:val="none" w:sz="0" w:space="0" w:color="auto"/>
      </w:divBdr>
    </w:div>
    <w:div w:id="1570192365">
      <w:bodyDiv w:val="1"/>
      <w:marLeft w:val="0"/>
      <w:marRight w:val="0"/>
      <w:marTop w:val="0"/>
      <w:marBottom w:val="0"/>
      <w:divBdr>
        <w:top w:val="none" w:sz="0" w:space="0" w:color="auto"/>
        <w:left w:val="none" w:sz="0" w:space="0" w:color="auto"/>
        <w:bottom w:val="none" w:sz="0" w:space="0" w:color="auto"/>
        <w:right w:val="none" w:sz="0" w:space="0" w:color="auto"/>
      </w:divBdr>
    </w:div>
    <w:div w:id="1721637694">
      <w:bodyDiv w:val="1"/>
      <w:marLeft w:val="0"/>
      <w:marRight w:val="0"/>
      <w:marTop w:val="0"/>
      <w:marBottom w:val="0"/>
      <w:divBdr>
        <w:top w:val="none" w:sz="0" w:space="0" w:color="auto"/>
        <w:left w:val="none" w:sz="0" w:space="0" w:color="auto"/>
        <w:bottom w:val="none" w:sz="0" w:space="0" w:color="auto"/>
        <w:right w:val="none" w:sz="0" w:space="0" w:color="auto"/>
      </w:divBdr>
    </w:div>
    <w:div w:id="1974099627">
      <w:bodyDiv w:val="1"/>
      <w:marLeft w:val="0"/>
      <w:marRight w:val="0"/>
      <w:marTop w:val="0"/>
      <w:marBottom w:val="0"/>
      <w:divBdr>
        <w:top w:val="none" w:sz="0" w:space="0" w:color="auto"/>
        <w:left w:val="none" w:sz="0" w:space="0" w:color="auto"/>
        <w:bottom w:val="none" w:sz="0" w:space="0" w:color="auto"/>
        <w:right w:val="none" w:sz="0" w:space="0" w:color="auto"/>
      </w:divBdr>
    </w:div>
    <w:div w:id="2015954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73AA10-AB0E-4D10-A264-4890B642D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8</Pages>
  <Words>3258</Words>
  <Characters>18572</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Couture, Richard</dc:creator>
  <cp:keywords/>
  <dc:description/>
  <cp:lastModifiedBy>Couture, Richard</cp:lastModifiedBy>
  <cp:revision>19</cp:revision>
  <cp:lastPrinted>2022-01-19T19:10:00Z</cp:lastPrinted>
  <dcterms:created xsi:type="dcterms:W3CDTF">2022-01-19T21:27:00Z</dcterms:created>
  <dcterms:modified xsi:type="dcterms:W3CDTF">2022-01-19T23:10:00Z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361200129</vt:i4>
  </property>
  <property fmtid="{D5CDD505-2E9C-101B-9397-08002B2CF9AE}" pid="3" name="_NewReviewCycle">
    <vt:lpwstr/>
  </property>
  <property fmtid="{D5CDD505-2E9C-101B-9397-08002B2CF9AE}" pid="4" name="_EmailSubject">
    <vt:lpwstr>AFGE GC Re-Entry MOU and LOI</vt:lpwstr>
  </property>
  <property fmtid="{D5CDD505-2E9C-101B-9397-08002B2CF9AE}" pid="5" name="_AuthorEmail">
    <vt:lpwstr>Richard.Couture@ssa.gov</vt:lpwstr>
  </property>
  <property fmtid="{D5CDD505-2E9C-101B-9397-08002B2CF9AE}" pid="6" name="_AuthorEmailDisplayName">
    <vt:lpwstr>Couture, Richard</vt:lpwstr>
  </property>
  <property fmtid="{D5CDD505-2E9C-101B-9397-08002B2CF9AE}" pid="7" name="_PreviousAdHocReviewCycleID">
    <vt:i4>-514666556</vt:i4>
  </property>
</Properties>
</file>